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0C1F3D" w:color="auto" w:val="clear"/>
            <w:tcMar>
              <w:top w:type="dxa" w:w="340"/>
              <w:left w:type="dxa" w:w="340"/>
              <w:bottom w:type="dxa" w:w="340"/>
              <w:right w:type="dxa" w:w="340"/>
            </w:tcMar>
          </w:tcPr>
          <w:p>
            <w:pPr>
              <w:bidi/>
              <w:spacing w:after="40" w:before="0" w:line="300"/>
              <w:jc w:val="start"/>
            </w:pPr>
            <w:r>
              <w:rPr>
                <w:rFonts w:ascii="Arial" w:cs="Arial" w:eastAsia="Arial" w:hAnsi="Arial"/>
                <w:b/>
                <w:bCs/>
                <w:color w:val="FFFFFF"/>
                <w:sz w:val="30"/>
                <w:szCs w:val="30"/>
                <w:rtl/>
              </w:rPr>
              <w:t xml:space="preserve">شركة نَسَق للحلول الرقمية</w:t>
            </w:r>
          </w:p>
          <w:p>
            <w:pPr>
              <w:bidi/>
              <w:spacing w:after="30" w:before="0" w:line="300"/>
              <w:jc w:val="start"/>
            </w:pPr>
            <w:r>
              <w:rPr>
                <w:rFonts w:ascii="Arial" w:cs="Arial" w:eastAsia="Arial" w:hAnsi="Arial"/>
                <w:b w:val="false"/>
                <w:bCs w:val="false"/>
                <w:color w:val="9FB6C9"/>
                <w:sz w:val="18"/>
                <w:szCs w:val="18"/>
                <w:rtl/>
              </w:rPr>
              <w:t xml:space="preserve">إدارة الأمن السيبراني</w:t>
            </w:r>
          </w:p>
          <w:p>
            <w:pPr>
              <w:bidi/>
              <w:spacing w:after="700" w:before="0" w:line="300"/>
              <w:jc w:val="start"/>
            </w:pPr>
            <w:r>
              <w:rPr>
                <w:rFonts w:ascii="Arial" w:cs="Arial" w:eastAsia="Arial" w:hAnsi="Arial"/>
                <w:color w:val="6E8CA6"/>
                <w:sz w:val="14"/>
                <w:szCs w:val="14"/>
              </w:rPr>
              <w:t xml:space="preserve">NASAQ DIGITAL SOLUTIONS CO</w:t>
            </w:r>
          </w:p>
          <w:p>
            <w:pPr>
              <w:bidi/>
              <w:spacing w:after="90" w:before="0" w:line="300"/>
              <w:jc w:val="start"/>
            </w:pPr>
            <w:r>
              <w:rPr>
                <w:rFonts w:ascii="Arial" w:cs="Arial" w:eastAsia="Arial" w:hAnsi="Arial"/>
                <w:b w:val="false"/>
                <w:bCs w:val="false"/>
                <w:color w:val="C9A227"/>
                <w:sz w:val="19"/>
                <w:szCs w:val="19"/>
                <w:rtl/>
              </w:rPr>
              <w:t xml:space="preserve">مصفوفة تغطية</w:t>
            </w:r>
          </w:p>
          <w:p>
            <w:pPr>
              <w:bidi/>
              <w:spacing w:after="120" w:before="0" w:line="420"/>
              <w:jc w:val="start"/>
            </w:pPr>
            <w:r>
              <w:rPr>
                <w:rFonts w:ascii="Arial" w:cs="Arial" w:eastAsia="Arial" w:hAnsi="Arial"/>
                <w:b/>
                <w:bCs/>
                <w:color w:val="FFFFFF"/>
                <w:sz w:val="52"/>
                <w:szCs w:val="52"/>
                <w:rtl/>
              </w:rPr>
              <w:t xml:space="preserve">مصفوفة تغطية متطلبات المكوّن الثاني</w:t>
            </w:r>
          </w:p>
          <w:p>
            <w:pPr>
              <w:bidi/>
              <w:spacing w:after="260" w:before="0" w:line="300"/>
              <w:jc w:val="start"/>
            </w:pPr>
            <w:r>
              <w:rPr>
                <w:rFonts w:ascii="Arial" w:cs="Arial" w:eastAsia="Arial" w:hAnsi="Arial"/>
                <w:b w:val="false"/>
                <w:bCs w:val="false"/>
                <w:color w:val="AFC4D4"/>
                <w:sz w:val="22"/>
                <w:szCs w:val="22"/>
                <w:rtl/>
              </w:rPr>
              <w:t xml:space="preserve">اثنا عشر ضابطاً · الوثيقة الحاكمة لكل ضابط</w:t>
            </w:r>
          </w:p>
          <w:p>
            <w:pPr>
              <w:bidi/>
              <w:spacing w:after="0" w:before="0" w:line="300"/>
              <w:jc w:val="start"/>
            </w:pPr>
            <w:r>
              <w:rPr>
                <w:rFonts w:ascii="Arial" w:cs="Arial" w:eastAsia="Arial" w:hAnsi="Arial"/>
                <w:b/>
                <w:bCs/>
                <w:color w:val="C9A227"/>
                <w:sz w:val="18"/>
                <w:szCs w:val="18"/>
                <w:rtl/>
              </w:rPr>
              <w:t xml:space="preserve">تصنيف الوثيقة: سري</w:t>
            </w:r>
          </w:p>
        </w:tc>
      </w:tr>
    </w:tbl>
    <w:p>
      <w:pPr>
        <w:bidi/>
        <w:spacing w:after="260" w:before="0" w:line="300"/>
        <w:jc w:val="start"/>
      </w:pPr>
      <w:r>
        <w:rPr>
          <w:rFonts w:ascii="Arial" w:cs="Arial" w:eastAsia="Arial" w:hAnsi="Arial"/>
          <w:b w:val="false"/>
          <w:bCs w:val="false"/>
          <w:color w:val="16202A"/>
          <w:sz w:val="12"/>
          <w:szCs w:val="12"/>
          <w:rtl/>
        </w:rPr>
        <w:t xml:space="preserve"/>
      </w:r>
    </w:p>
    <w:tbl>
      <w:tblPr>
        <w:bidiVisual/>
        <w:tblW w:type="dxa" w:w="9360"/>
        <w:tblBorders>
          <w:top w:val="none"/>
          <w:left w:val="none"/>
          <w:bottom w:val="none"/>
          <w:right w:val="none"/>
          <w:insideH w:val="single" w:color="D8E0E3" w:sz="2"/>
          <w:insideV w:val="none"/>
        </w:tblBorders>
      </w:tblPr>
      <w:tblGrid>
        <w:gridCol w:w="3400"/>
        <w:gridCol w:w="5960"/>
      </w:tblGrid>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CS-DOC-006</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رقم الإصدار</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1.0</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مالك الوثيقة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وحدة الحوكمة والمخاطر والالتزام</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جهة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رئيس الأمن السيبراني</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الاعتماد</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١٤٤٨هـ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تاريخ المراجعة القادمة</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١ ربيع الأول ١٤٤٩هـ</w:t>
            </w:r>
          </w:p>
        </w:tc>
      </w:tr>
      <w:tr>
        <w:tc>
          <w:tcPr>
            <w:tcW w:type="dxa" w:w="3400"/>
            <w:tcMar>
              <w:top w:type="dxa" w:w="130"/>
              <w:bottom w:type="dxa" w:w="130"/>
              <w:right w:type="dxa" w:w="60"/>
            </w:tcMar>
          </w:tcPr>
          <w:p>
            <w:pPr>
              <w:bidi/>
              <w:spacing w:after="0" w:before="0" w:line="300"/>
              <w:jc w:val="start"/>
            </w:pPr>
            <w:r>
              <w:rPr>
                <w:rFonts w:ascii="Arial" w:cs="Arial" w:eastAsia="Arial" w:hAnsi="Arial"/>
                <w:b w:val="false"/>
                <w:bCs w:val="false"/>
                <w:color w:val="5A6672"/>
                <w:sz w:val="19"/>
                <w:szCs w:val="19"/>
                <w:rtl/>
              </w:rPr>
              <w:t xml:space="preserve">الضابط المرتبط</w:t>
            </w:r>
          </w:p>
        </w:tc>
        <w:tc>
          <w:tcPr>
            <w:tcW w:type="dxa" w:w="5960"/>
            <w:tcMar>
              <w:top w:type="dxa" w:w="130"/>
              <w:left w:type="dxa" w:w="60"/>
              <w:bottom w:type="dxa" w:w="130"/>
            </w:tcMar>
          </w:tcPr>
          <w:p>
            <w:pPr>
              <w:bidi/>
              <w:spacing w:after="0" w:before="0" w:line="300"/>
              <w:jc w:val="end"/>
            </w:pPr>
            <w:r>
              <w:rPr>
                <w:rFonts w:ascii="Arial" w:cs="Arial" w:eastAsia="Arial" w:hAnsi="Arial"/>
                <w:b/>
                <w:bCs/>
                <w:color w:val="16202A"/>
                <w:sz w:val="19"/>
                <w:szCs w:val="19"/>
                <w:rtl/>
              </w:rPr>
              <w:t xml:space="preserve">ECC-2:2024 — المكوّن الثاني</w:t>
            </w:r>
          </w:p>
        </w:tc>
      </w:tr>
    </w:tbl>
    <w:p>
      <w:pPr>
        <w:bidi/>
        <w:spacing w:after="360" w:before="0" w:line="300"/>
        <w:jc w:val="start"/>
      </w:pPr>
      <w:r>
        <w:rPr>
          <w:rFonts w:ascii="Arial" w:cs="Arial" w:eastAsia="Arial" w:hAnsi="Arial"/>
          <w:b w:val="false"/>
          <w:bCs w:val="false"/>
          <w:color w:val="16202A"/>
          <w:sz w:val="12"/>
          <w:szCs w:val="12"/>
          <w:rtl/>
        </w:rPr>
        <w:t xml:space="preserve"/>
      </w:r>
    </w:p>
    <w:p>
      <w:pPr>
        <w:bidi/>
        <w:spacing w:after="0" w:before="0" w:line="300"/>
        <w:jc w:val="start"/>
      </w:pPr>
      <w:r>
        <w:rPr>
          <w:rFonts w:ascii="Arial" w:cs="Arial" w:eastAsia="Arial" w:hAnsi="Arial"/>
          <w:b w:val="false"/>
          <w:bCs w:val="false"/>
          <w:color w:val="5A6672"/>
          <w:sz w:val="16"/>
          <w:szCs w:val="16"/>
          <w:rtl/>
        </w:rPr>
        <w:t xml:space="preserve">هذه الوثيقة ملكية فكرية لـ شركة نَسَق للحلول الرقمية، وتصنيفها «سري». لا يجوز نسخها أو تداولها خارج الشركة دون موافقة خطية من مالك الوثيقة.</w:t>
      </w:r>
    </w:p>
    <w:p>
      <w:pPr>
        <w:sectPr>
          <w:headerReference w:type="default" r:id="rId7"/>
          <w:footerReference w:type="default" r:id="rId8"/>
          <w:pgSz w:w="11906" w:h="16838" w:orient="portrait"/>
          <w:pgMar w:top="1000" w:right="1080" w:bottom="900" w:left="1080" w:header="708" w:footer="708" w:gutter="0"/>
          <w:pgNumType/>
          <w:docGrid w:linePitch="360"/>
        </w:sectPr>
      </w:pPr>
    </w:p>
    <w:p>
      <w:pPr>
        <w:pStyle w:val="Heading1"/>
        <w:bidi/>
        <w:spacing w:after="200" w:before="0" w:line="300"/>
        <w:jc w:val="start"/>
      </w:pPr>
      <w:r>
        <w:rPr>
          <w:rFonts w:ascii="Arial" w:cs="Arial" w:eastAsia="Arial" w:hAnsi="Arial"/>
          <w:b/>
          <w:bCs/>
          <w:color w:val="15325C"/>
          <w:sz w:val="32"/>
          <w:szCs w:val="32"/>
          <w:rtl/>
        </w:rPr>
        <w:t xml:space="preserve">مصفوفة تغطية متطلبات المكوّن الثاني</w:t>
      </w:r>
    </w:p>
    <w:p>
      <w:pPr>
        <w:pStyle w:val="Heading2"/>
        <w:bidi/>
        <w:spacing w:after="120" w:before="280" w:line="300"/>
        <w:jc w:val="start"/>
      </w:pPr>
      <w:r>
        <w:rPr>
          <w:rFonts w:ascii="Arial" w:cs="Arial" w:eastAsia="Arial" w:hAnsi="Arial"/>
          <w:b/>
          <w:bCs/>
          <w:color w:val="15325C"/>
          <w:sz w:val="27"/>
          <w:szCs w:val="27"/>
          <w:rtl/>
        </w:rPr>
        <w:t xml:space="preserve">الغرض</w:t>
      </w:r>
    </w:p>
    <w:p>
      <w:pPr>
        <w:bidi/>
        <w:spacing w:after="140" w:before="0" w:line="300"/>
        <w:jc w:val="start"/>
      </w:pPr>
      <w:r>
        <w:rPr>
          <w:rFonts w:ascii="Arial" w:cs="Arial" w:eastAsia="Arial" w:hAnsi="Arial"/>
          <w:b w:val="false"/>
          <w:bCs w:val="false"/>
          <w:color w:val="16202A"/>
          <w:sz w:val="21"/>
          <w:szCs w:val="21"/>
          <w:rtl/>
        </w:rPr>
        <w:t xml:space="preserve">توثّق هذه المصفوفة الوثيقة الحاكمة لكل ضابط من ضوابط «تحديد وتوثيق واعتماد المتطلبات» في المكوّن الثاني، وتُبيّن ما أُنتج ضمن حزمة العمل WP-12 وما سبق إنتاجه في المرحلة الأولى.</w:t>
      </w:r>
    </w:p>
    <w:p>
      <w:pPr>
        <w:pStyle w:val="Heading2"/>
        <w:bidi/>
        <w:spacing w:after="120" w:before="280" w:line="300"/>
        <w:jc w:val="start"/>
      </w:pPr>
      <w:r>
        <w:rPr>
          <w:rFonts w:ascii="Arial" w:cs="Arial" w:eastAsia="Arial" w:hAnsi="Arial"/>
          <w:b/>
          <w:bCs/>
          <w:color w:val="15325C"/>
          <w:sz w:val="27"/>
          <w:szCs w:val="27"/>
          <w:rtl/>
        </w:rPr>
        <w:t xml:space="preserve">المرجعية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4744"/>
        <w:gridCol w:w="4616"/>
      </w:tblGrid>
      <w:tr>
        <w:trPr>
          <w:tblHeader/>
        </w:trPr>
        <w:tc>
          <w:tcPr>
            <w:tcW w:type="dxa" w:w="474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المرجع</w:t>
            </w:r>
          </w:p>
        </w:tc>
        <w:tc>
          <w:tcPr>
            <w:tcW w:type="dxa" w:w="461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العلاقة</w:t>
            </w:r>
          </w:p>
        </w:tc>
      </w:tr>
      <w:tr>
        <w:trPr>
          <w:tblHeader w:val="false"/>
        </w:trPr>
        <w:tc>
          <w:tcPr>
            <w:tcW w:type="dxa" w:w="474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خطة المعالجة وخارطة الطريق CS-PLN-001</w:t>
            </w:r>
          </w:p>
        </w:tc>
        <w:tc>
          <w:tcPr>
            <w:tcW w:type="dxa" w:w="461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نطاق حزمة العمل WP-12</w:t>
            </w:r>
          </w:p>
        </w:tc>
      </w:tr>
      <w:tr>
        <w:trPr>
          <w:tblHeader w:val="false"/>
        </w:trPr>
        <w:tc>
          <w:tcPr>
            <w:tcW w:type="dxa" w:w="474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سجل وثائق الأمن السيبراني CS-DOC-005</w:t>
            </w:r>
          </w:p>
        </w:tc>
        <w:tc>
          <w:tcPr>
            <w:tcW w:type="dxa" w:w="461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السجل الشامل للوثائق وجداول المراجعة</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المصفوفة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1901"/>
        <w:gridCol w:w="1901"/>
        <w:gridCol w:w="3656"/>
        <w:gridCol w:w="1902"/>
      </w:tblGrid>
      <w:tr>
        <w:trPr>
          <w:tblHeader/>
        </w:trPr>
        <w:tc>
          <w:tcPr>
            <w:tcW w:type="dxa" w:w="190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190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 الفرعي</w:t>
            </w:r>
          </w:p>
        </w:tc>
        <w:tc>
          <w:tcPr>
            <w:tcW w:type="dxa" w:w="365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الوثيقة الحاكمة</w:t>
            </w:r>
          </w:p>
        </w:tc>
        <w:tc>
          <w:tcPr>
            <w:tcW w:type="dxa" w:w="1902"/>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مصدر الإنتاج</w:t>
            </w:r>
          </w:p>
        </w:tc>
      </w:tr>
      <w:tr>
        <w:trPr>
          <w:tblHeader w:val="false"/>
        </w:trPr>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٢-١-١</w:t>
            </w:r>
          </w:p>
        </w:tc>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الأصول</w:t>
            </w:r>
          </w:p>
        </w:tc>
        <w:tc>
          <w:tcPr>
            <w:tcW w:type="dxa" w:w="3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CS-POL-005 سياسة إدارة الأصول المعلوماتية والتقنية</w:t>
            </w:r>
          </w:p>
        </w:tc>
        <w:tc>
          <w:tcPr>
            <w:tcW w:type="dxa" w:w="19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WP-12</w:t>
            </w:r>
          </w:p>
        </w:tc>
      </w:tr>
      <w:tr>
        <w:trPr>
          <w:tblHeader w:val="false"/>
        </w:trPr>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٢-٢-١</w:t>
            </w:r>
          </w:p>
        </w:tc>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الهويات والصلاحيات</w:t>
            </w:r>
          </w:p>
        </w:tc>
        <w:tc>
          <w:tcPr>
            <w:tcW w:type="dxa" w:w="3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CS-POL-002 سياسة إدارة هويات الدخول والصلاحيات</w:t>
            </w:r>
          </w:p>
        </w:tc>
        <w:tc>
          <w:tcPr>
            <w:tcW w:type="dxa" w:w="19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WP-03</w:t>
            </w:r>
          </w:p>
        </w:tc>
      </w:tr>
      <w:tr>
        <w:trPr>
          <w:tblHeader w:val="false"/>
        </w:trPr>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٢-٥-١</w:t>
            </w:r>
          </w:p>
        </w:tc>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الشبكات</w:t>
            </w:r>
          </w:p>
        </w:tc>
        <w:tc>
          <w:tcPr>
            <w:tcW w:type="dxa" w:w="3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CS-STD-005 معيار عزل البيئات وتقسيم الشبكة</w:t>
            </w:r>
          </w:p>
        </w:tc>
        <w:tc>
          <w:tcPr>
            <w:tcW w:type="dxa" w:w="19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WP-02</w:t>
            </w:r>
          </w:p>
        </w:tc>
      </w:tr>
      <w:tr>
        <w:trPr>
          <w:tblHeader w:val="false"/>
        </w:trPr>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٢-٧-١</w:t>
            </w:r>
          </w:p>
        </w:tc>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البيانات والمعلومات</w:t>
            </w:r>
          </w:p>
        </w:tc>
        <w:tc>
          <w:tcPr>
            <w:tcW w:type="dxa" w:w="3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CS-POL-006 سياسة حماية البيانات والمعلومات</w:t>
            </w:r>
          </w:p>
        </w:tc>
        <w:tc>
          <w:tcPr>
            <w:tcW w:type="dxa" w:w="19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WP-12</w:t>
            </w:r>
          </w:p>
        </w:tc>
      </w:tr>
      <w:tr>
        <w:trPr>
          <w:tblHeader w:val="false"/>
        </w:trPr>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٢-٨-١</w:t>
            </w:r>
          </w:p>
        </w:tc>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التشفير</w:t>
            </w:r>
          </w:p>
        </w:tc>
        <w:tc>
          <w:tcPr>
            <w:tcW w:type="dxa" w:w="3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CS-STD-004 معيار التشفير وإدارة مفاتيح التشفير</w:t>
            </w:r>
          </w:p>
        </w:tc>
        <w:tc>
          <w:tcPr>
            <w:tcW w:type="dxa" w:w="19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WP-01</w:t>
            </w:r>
          </w:p>
        </w:tc>
      </w:tr>
      <w:tr>
        <w:trPr>
          <w:tblHeader w:val="false"/>
        </w:trPr>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٢-٩-١</w:t>
            </w:r>
          </w:p>
        </w:tc>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النسخ الاحتياطية</w:t>
            </w:r>
          </w:p>
        </w:tc>
        <w:tc>
          <w:tcPr>
            <w:tcW w:type="dxa" w:w="3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CS-STD-006 معيار النسخ الاحتياطية والاستعادة</w:t>
            </w:r>
          </w:p>
        </w:tc>
        <w:tc>
          <w:tcPr>
            <w:tcW w:type="dxa" w:w="19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WP-04</w:t>
            </w:r>
          </w:p>
        </w:tc>
      </w:tr>
      <w:tr>
        <w:trPr>
          <w:tblHeader w:val="false"/>
        </w:trPr>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٢-١٠-١</w:t>
            </w:r>
          </w:p>
        </w:tc>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الثغرات</w:t>
            </w:r>
          </w:p>
        </w:tc>
        <w:tc>
          <w:tcPr>
            <w:tcW w:type="dxa" w:w="3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CS-STD-008 معيار إدارة الثغرات التقنية</w:t>
            </w:r>
          </w:p>
        </w:tc>
        <w:tc>
          <w:tcPr>
            <w:tcW w:type="dxa" w:w="19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WP-12</w:t>
            </w:r>
          </w:p>
        </w:tc>
      </w:tr>
      <w:tr>
        <w:trPr>
          <w:tblHeader w:val="false"/>
        </w:trPr>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٢-١١-١</w:t>
            </w:r>
          </w:p>
        </w:tc>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اختبار الاختراق</w:t>
            </w:r>
          </w:p>
        </w:tc>
        <w:tc>
          <w:tcPr>
            <w:tcW w:type="dxa" w:w="3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CS-STD-009 معيار اختبار الاختراق</w:t>
            </w:r>
          </w:p>
        </w:tc>
        <w:tc>
          <w:tcPr>
            <w:tcW w:type="dxa" w:w="19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WP-12</w:t>
            </w:r>
          </w:p>
        </w:tc>
      </w:tr>
      <w:tr>
        <w:trPr>
          <w:tblHeader w:val="false"/>
        </w:trPr>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٢-١٢-١</w:t>
            </w:r>
          </w:p>
        </w:tc>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السجلات والمراقبة</w:t>
            </w:r>
          </w:p>
        </w:tc>
        <w:tc>
          <w:tcPr>
            <w:tcW w:type="dxa" w:w="3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CS-STD-002 معيار إدارة سجلات الأحداث والاحتفاظ بها</w:t>
            </w:r>
          </w:p>
        </w:tc>
        <w:tc>
          <w:tcPr>
            <w:tcW w:type="dxa" w:w="19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WP-05</w:t>
            </w:r>
          </w:p>
        </w:tc>
      </w:tr>
      <w:tr>
        <w:trPr>
          <w:tblHeader w:val="false"/>
        </w:trPr>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٢-١٣-٢</w:t>
            </w:r>
          </w:p>
        </w:tc>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إدارة الحوادث — التطبيق</w:t>
            </w:r>
          </w:p>
        </w:tc>
        <w:tc>
          <w:tcPr>
            <w:tcW w:type="dxa" w:w="3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CS-PRO-002 خطة الاستجابة لحوادث الأمن السيبراني</w:t>
            </w:r>
          </w:p>
        </w:tc>
        <w:tc>
          <w:tcPr>
            <w:tcW w:type="dxa" w:w="19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WP-05</w:t>
            </w:r>
          </w:p>
        </w:tc>
      </w:tr>
      <w:tr>
        <w:trPr>
          <w:tblHeader w:val="false"/>
        </w:trPr>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٢-١٤-١</w:t>
            </w:r>
          </w:p>
        </w:tc>
        <w:tc>
          <w:tcPr>
            <w:tcW w:type="dxa" w:w="190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الأمن المادي</w:t>
            </w:r>
          </w:p>
        </w:tc>
        <w:tc>
          <w:tcPr>
            <w:tcW w:type="dxa" w:w="365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CS-POL-007 سياسة الأمن المادي للأصول</w:t>
            </w:r>
          </w:p>
        </w:tc>
        <w:tc>
          <w:tcPr>
            <w:tcW w:type="dxa" w:w="1902"/>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WP-12</w:t>
            </w:r>
          </w:p>
        </w:tc>
      </w:tr>
      <w:tr>
        <w:trPr>
          <w:tblHeader w:val="false"/>
        </w:trPr>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٢-١٥-١</w:t>
            </w:r>
          </w:p>
        </w:tc>
        <w:tc>
          <w:tcPr>
            <w:tcW w:type="dxa" w:w="190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تطبيقات الويب</w:t>
            </w:r>
          </w:p>
        </w:tc>
        <w:tc>
          <w:tcPr>
            <w:tcW w:type="dxa" w:w="365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CS-STD-010 معيار حماية تطبيقات الويب الخارجية</w:t>
            </w:r>
          </w:p>
        </w:tc>
        <w:tc>
          <w:tcPr>
            <w:tcW w:type="dxa" w:w="1902"/>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WP-12</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ملخص التغطية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5014"/>
        <w:gridCol w:w="4346"/>
      </w:tblGrid>
      <w:tr>
        <w:trPr>
          <w:tblHeader/>
        </w:trPr>
        <w:tc>
          <w:tcPr>
            <w:tcW w:type="dxa" w:w="501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المصدر</w:t>
            </w:r>
          </w:p>
        </w:tc>
        <w:tc>
          <w:tcPr>
            <w:tcW w:type="dxa" w:w="4346"/>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عدد الضوابط</w:t>
            </w:r>
          </w:p>
        </w:tc>
      </w:tr>
      <w:tr>
        <w:trPr>
          <w:tblHeader w:val="false"/>
        </w:trPr>
        <w:tc>
          <w:tcPr>
            <w:tcW w:type="dxa" w:w="501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وثائق أُنتجت في المرحلة الأولى</w:t>
            </w:r>
          </w:p>
        </w:tc>
        <w:tc>
          <w:tcPr>
            <w:tcW w:type="dxa" w:w="4346"/>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r>
      <w:tr>
        <w:trPr>
          <w:tblHeader w:val="false"/>
        </w:trPr>
        <w:tc>
          <w:tcPr>
            <w:tcW w:type="dxa" w:w="501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وثائق أُنتجت في حزمة WP-12</w:t>
            </w:r>
          </w:p>
        </w:tc>
        <w:tc>
          <w:tcPr>
            <w:tcW w:type="dxa" w:w="4346"/>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٦</w:t>
            </w:r>
          </w:p>
        </w:tc>
      </w:tr>
      <w:tr>
        <w:trPr>
          <w:tblHeader w:val="false"/>
        </w:trPr>
        <w:tc>
          <w:tcPr>
            <w:tcW w:type="dxa" w:w="5014"/>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الإجمالي</w:t>
            </w:r>
          </w:p>
        </w:tc>
        <w:tc>
          <w:tcPr>
            <w:tcW w:type="dxa" w:w="4346"/>
            <w:tcMar>
              <w:top w:type="dxa" w:w="110"/>
              <w:left w:type="dxa" w:w="120"/>
              <w:bottom w:type="dxa" w:w="110"/>
              <w:right w:type="dxa" w:w="120"/>
            </w:tcMar>
            <w:vAlign w:val="center"/>
          </w:tcPr>
          <w:p>
            <w:pPr>
              <w:bidi/>
              <w:spacing w:after="0" w:before="0" w:line="260"/>
              <w:jc w:val="start"/>
            </w:pPr>
            <w:r>
              <w:rPr>
                <w:rFonts w:ascii="Arial" w:cs="Arial" w:eastAsia="Arial" w:hAnsi="Arial"/>
                <w:b/>
                <w:bCs/>
                <w:color w:val="15325C"/>
                <w:sz w:val="19"/>
                <w:szCs w:val="19"/>
                <w:rtl/>
              </w:rPr>
              <w:t xml:space="preserve">١٢</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ستة ضوابط تغطيها وثائق أُنتجت أثناء معالجة الفجوات الحرجة في المرحلة الأولى، ولم تُعَد كتابتها تفادياً لازدواج المرجعية. فوجود وثيقتين تحكمان الموضوع نفسه يخلق تعارضاً عند التحديث ويربك المدقق.</w:t>
      </w:r>
    </w:p>
    <w:p>
      <w:pPr>
        <w:pStyle w:val="Heading2"/>
        <w:bidi/>
        <w:spacing w:after="120" w:before="280" w:line="300"/>
        <w:jc w:val="start"/>
      </w:pPr>
      <w:r>
        <w:rPr>
          <w:rFonts w:ascii="Arial" w:cs="Arial" w:eastAsia="Arial" w:hAnsi="Arial"/>
          <w:b/>
          <w:bCs/>
          <w:color w:val="15325C"/>
          <w:sz w:val="27"/>
          <w:szCs w:val="27"/>
          <w:rtl/>
        </w:rPr>
        <w:t xml:space="preserve">الضوابط المرتبطة غير المشمولة بهذه الحزمة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734"/>
        <w:gridCol w:w="3891"/>
        <w:gridCol w:w="2735"/>
      </w:tblGrid>
      <w:tr>
        <w:trPr>
          <w:tblHeader/>
        </w:trPr>
        <w:tc>
          <w:tcPr>
            <w:tcW w:type="dxa" w:w="27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الضابط</w:t>
            </w:r>
          </w:p>
        </w:tc>
        <w:tc>
          <w:tcPr>
            <w:tcW w:type="dxa" w:w="3891"/>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المكوّن الفرعي</w:t>
            </w:r>
          </w:p>
        </w:tc>
        <w:tc>
          <w:tcPr>
            <w:tcW w:type="dxa" w:w="273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الحزمة المجدولة</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٢-٣-١</w:t>
            </w:r>
          </w:p>
        </w:tc>
        <w:tc>
          <w:tcPr>
            <w:tcW w:type="dxa" w:w="38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الأنظمة وأجهزة معالجة المعلومات</w:t>
            </w:r>
          </w:p>
        </w:tc>
        <w:tc>
          <w:tcPr>
            <w:tcW w:type="dxa" w:w="27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WP-16 — المرحلة الثالثة</w:t>
            </w:r>
          </w:p>
        </w:tc>
      </w:tr>
      <w:tr>
        <w:trPr>
          <w:tblHeader w:val="false"/>
        </w:trPr>
        <w:tc>
          <w:tcPr>
            <w:tcW w:type="dxa" w:w="27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٢-٤-١</w:t>
            </w:r>
          </w:p>
        </w:tc>
        <w:tc>
          <w:tcPr>
            <w:tcW w:type="dxa" w:w="3891"/>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حماية البريد الإلكتروني</w:t>
            </w:r>
          </w:p>
        </w:tc>
        <w:tc>
          <w:tcPr>
            <w:tcW w:type="dxa" w:w="273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WP-16 — المرحلة الثالثة</w:t>
            </w:r>
          </w:p>
        </w:tc>
      </w:tr>
      <w:tr>
        <w:trPr>
          <w:tblHeader w:val="false"/>
        </w:trPr>
        <w:tc>
          <w:tcPr>
            <w:tcW w:type="dxa" w:w="27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٢-٦-١</w:t>
            </w:r>
          </w:p>
        </w:tc>
        <w:tc>
          <w:tcPr>
            <w:tcW w:type="dxa" w:w="3891"/>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أمن الأجهزة المحمولة</w:t>
            </w:r>
          </w:p>
        </w:tc>
        <w:tc>
          <w:tcPr>
            <w:tcW w:type="dxa" w:w="273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WP-16 — المرحلة الثالثة</w:t>
            </w:r>
          </w:p>
        </w:tc>
      </w:tr>
    </w:tbl>
    <w:p>
      <w:pPr>
        <w:bidi/>
        <w:spacing w:after="100" w:before="0" w:line="300"/>
        <w:jc w:val="start"/>
      </w:pPr>
      <w:r>
        <w:rPr>
          <w:rFonts w:ascii="Arial" w:cs="Arial" w:eastAsia="Arial" w:hAnsi="Arial"/>
          <w:b w:val="false"/>
          <w:bCs w:val="false"/>
          <w:color w:val="16202A"/>
          <w:sz w:val="8"/>
          <w:szCs w:val="8"/>
          <w:rtl/>
        </w:rPr>
        <w:t xml:space="preserve"/>
      </w:r>
    </w:p>
    <w:p>
      <w:pPr>
        <w:bidi/>
        <w:spacing w:after="140" w:before="0" w:line="300"/>
        <w:jc w:val="start"/>
      </w:pPr>
      <w:r>
        <w:rPr>
          <w:rFonts w:ascii="Arial" w:cs="Arial" w:eastAsia="Arial" w:hAnsi="Arial"/>
          <w:b w:val="false"/>
          <w:bCs w:val="false"/>
          <w:color w:val="16202A"/>
          <w:sz w:val="21"/>
          <w:szCs w:val="21"/>
          <w:rtl/>
        </w:rPr>
        <w:t xml:space="preserve">جُدولت هذه الضوابط الثلاثة مع حزمة التحصين التقني لأن وثائق متطلباتها مرتبطة مباشرة بالحلول التقنية التي ستُقتنى في المرحلة الثالثة، وكتابتها قبل تحديد الحل تنتج وثيقة نظرية تحتاج إعادة كتابة بعد التنفيذ.</w:t>
      </w:r>
    </w:p>
    <w:p>
      <w:pPr>
        <w:pStyle w:val="Heading2"/>
        <w:bidi/>
        <w:spacing w:after="120" w:before="280" w:line="300"/>
        <w:jc w:val="start"/>
      </w:pPr>
      <w:r>
        <w:rPr>
          <w:rFonts w:ascii="Arial" w:cs="Arial" w:eastAsia="Arial" w:hAnsi="Arial"/>
          <w:b/>
          <w:bCs/>
          <w:color w:val="15325C"/>
          <w:sz w:val="27"/>
          <w:szCs w:val="27"/>
          <w:rtl/>
        </w:rPr>
        <w:t xml:space="preserve">الفجوات المعيارية المفتوحة</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3360"/>
        <w:gridCol w:w="3920"/>
        <w:gridCol w:w="2080"/>
      </w:tblGrid>
      <w:tr>
        <w:trPr>
          <w:tblHeader/>
        </w:trPr>
        <w:tc>
          <w:tcPr>
            <w:tcW w:type="dxa" w:w="336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الفجوة</w:t>
            </w:r>
          </w:p>
        </w:tc>
        <w:tc>
          <w:tcPr>
            <w:tcW w:type="dxa" w:w="392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الأثر</w:t>
            </w:r>
          </w:p>
        </w:tc>
        <w:tc>
          <w:tcPr>
            <w:tcW w:type="dxa" w:w="2080"/>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الحزمة المجدولة</w:t>
            </w:r>
          </w:p>
        </w:tc>
      </w:tr>
      <w:tr>
        <w:trPr>
          <w:tblHeader w:val="false"/>
        </w:trPr>
        <w:tc>
          <w:tcPr>
            <w:tcW w:type="dxa" w:w="33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توجد معايير تحصين معتمدة لأنظمة التشغيل</w:t>
            </w:r>
          </w:p>
        </w:tc>
        <w:tc>
          <w:tcPr>
            <w:tcW w:type="dxa" w:w="39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يتعذّر التحقق من استيفاء الخوادم قبل دخول الإنتاج</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WP-16</w:t>
            </w:r>
          </w:p>
        </w:tc>
      </w:tr>
      <w:tr>
        <w:trPr>
          <w:tblHeader w:val="false"/>
        </w:trPr>
        <w:tc>
          <w:tcPr>
            <w:tcW w:type="dxa" w:w="33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توجد معايير تحصين لقواعد البيانات</w:t>
            </w:r>
          </w:p>
        </w:tc>
        <w:tc>
          <w:tcPr>
            <w:tcW w:type="dxa" w:w="39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كما أعلاه</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WP-16</w:t>
            </w:r>
          </w:p>
        </w:tc>
      </w:tr>
      <w:tr>
        <w:trPr>
          <w:tblHeader w:val="false"/>
        </w:trPr>
        <w:tc>
          <w:tcPr>
            <w:tcW w:type="dxa" w:w="336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توجد معايير تحصين لمنصة الحاويات</w:t>
            </w:r>
          </w:p>
        </w:tc>
        <w:tc>
          <w:tcPr>
            <w:tcW w:type="dxa" w:w="392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كما أعلاه</w:t>
            </w:r>
          </w:p>
        </w:tc>
        <w:tc>
          <w:tcPr>
            <w:tcW w:type="dxa" w:w="2080"/>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WP-16</w:t>
            </w:r>
          </w:p>
        </w:tc>
      </w:tr>
      <w:tr>
        <w:trPr>
          <w:tblHeader w:val="false"/>
        </w:trPr>
        <w:tc>
          <w:tcPr>
            <w:tcW w:type="dxa" w:w="336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لا يوجد معيار إعدادات آمنة للبيئة السحابية</w:t>
            </w:r>
          </w:p>
        </w:tc>
        <w:tc>
          <w:tcPr>
            <w:tcW w:type="dxa" w:w="392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يتعذّر قياس الانحراف عن الوضع الآمن</w:t>
            </w:r>
          </w:p>
        </w:tc>
        <w:tc>
          <w:tcPr>
            <w:tcW w:type="dxa" w:w="2080"/>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WP-20</w:t>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الاعتماد</w:t>
      </w:r>
    </w:p>
    <w:tbl>
      <w:tblPr>
        <w:bidiVisual/>
        <w:tblW w:type="dxa" w:w="9360"/>
        <w:tblBorders>
          <w:top w:val="single" w:color="D8E0E3" w:sz="2"/>
          <w:left w:val="single" w:color="D8E0E3" w:sz="2"/>
          <w:bottom w:val="single" w:color="D8E0E3" w:sz="2"/>
          <w:right w:val="single" w:color="D8E0E3" w:sz="2"/>
          <w:insideH w:val="single" w:color="D8E0E3" w:sz="2"/>
          <w:insideV w:val="single" w:color="D8E0E3" w:sz="2"/>
        </w:tblBorders>
      </w:tblPr>
      <w:tblGrid>
        <w:gridCol w:w="2134"/>
        <w:gridCol w:w="2955"/>
        <w:gridCol w:w="2134"/>
        <w:gridCol w:w="2137"/>
      </w:tblGrid>
      <w:tr>
        <w:trPr>
          <w:tblHeader/>
        </w:trPr>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الدور</w:t>
            </w:r>
          </w:p>
        </w:tc>
        <w:tc>
          <w:tcPr>
            <w:tcW w:type="dxa" w:w="2955"/>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الاسم</w:t>
            </w:r>
          </w:p>
        </w:tc>
        <w:tc>
          <w:tcPr>
            <w:tcW w:type="dxa" w:w="2134"/>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التوقيع</w:t>
            </w:r>
          </w:p>
        </w:tc>
        <w:tc>
          <w:tcPr>
            <w:tcW w:type="dxa" w:w="2137"/>
            <w:shd w:fill="15325C"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bCs/>
                <w:color w:val="FFFFFF"/>
                <w:sz w:val="19"/>
                <w:szCs w:val="19"/>
                <w:rtl/>
              </w:rPr>
              <w:t xml:space="preserve">التاريخ</w:t>
            </w:r>
          </w:p>
        </w:tc>
      </w:tr>
      <w:tr>
        <w:trPr>
          <w:tblHeader w:val="false"/>
        </w:trPr>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أُعدّت بواسطة</w:t>
            </w:r>
          </w:p>
        </w:tc>
        <w:tc>
          <w:tcPr>
            <w:tcW w:type="dxa" w:w="2955"/>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وحدة الحوكمة والمخاطر والالتزام</w:t>
            </w:r>
          </w:p>
        </w:tc>
        <w:tc>
          <w:tcPr>
            <w:tcW w:type="dxa" w:w="2134"/>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r>
        <w:trPr>
          <w:tblHeader w:val="false"/>
        </w:trPr>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اعتُمدت بواسطة</w:t>
            </w:r>
          </w:p>
        </w:tc>
        <w:tc>
          <w:tcPr>
            <w:tcW w:type="dxa" w:w="2955"/>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أ. ريم الشهري — رئيس الأمن السيبراني</w:t>
            </w:r>
          </w:p>
        </w:tc>
        <w:tc>
          <w:tcPr>
            <w:tcW w:type="dxa" w:w="2134"/>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c>
          <w:tcPr>
            <w:tcW w:type="dxa" w:w="2137"/>
            <w:shd w:fill="F2F7F8" w:color="auto" w:val="clear"/>
            <w:tcMar>
              <w:top w:type="dxa" w:w="110"/>
              <w:left w:type="dxa" w:w="120"/>
              <w:bottom w:type="dxa" w:w="110"/>
              <w:right w:type="dxa" w:w="120"/>
            </w:tcMar>
            <w:vAlign w:val="center"/>
          </w:tcPr>
          <w:p>
            <w:pPr>
              <w:bidi/>
              <w:spacing w:after="0" w:before="0" w:line="260"/>
              <w:jc w:val="start"/>
            </w:pPr>
            <w:r>
              <w:rPr>
                <w:rFonts w:ascii="Arial" w:cs="Arial" w:eastAsia="Arial" w:hAnsi="Arial"/>
                <w:b w:val="false"/>
                <w:bCs w:val="false"/>
                <w:color w:val="16202A"/>
                <w:sz w:val="19"/>
                <w:szCs w:val="19"/>
                <w:rtl/>
              </w:rPr>
              <w:t xml:space="preserve"/>
            </w:r>
          </w:p>
        </w:tc>
      </w:tr>
    </w:tbl>
    <w:p>
      <w:pPr>
        <w:bidi/>
        <w:spacing w:after="100" w:before="0" w:line="300"/>
        <w:jc w:val="start"/>
      </w:pPr>
      <w:r>
        <w:rPr>
          <w:rFonts w:ascii="Arial" w:cs="Arial" w:eastAsia="Arial" w:hAnsi="Arial"/>
          <w:b w:val="false"/>
          <w:bCs w:val="false"/>
          <w:color w:val="16202A"/>
          <w:sz w:val="8"/>
          <w:szCs w:val="8"/>
          <w:rtl/>
        </w:rPr>
        <w:t xml:space="preserve"/>
      </w:r>
    </w:p>
    <w:p>
      <w:pPr>
        <w:pStyle w:val="Heading2"/>
        <w:bidi/>
        <w:spacing w:after="120" w:before="280" w:line="300"/>
        <w:jc w:val="start"/>
      </w:pPr>
      <w:r>
        <w:rPr>
          <w:rFonts w:ascii="Arial" w:cs="Arial" w:eastAsia="Arial" w:hAnsi="Arial"/>
          <w:b/>
          <w:bCs/>
          <w:color w:val="15325C"/>
          <w:sz w:val="27"/>
          <w:szCs w:val="27"/>
          <w:rtl/>
        </w:rPr>
        <w:t xml:space="preserve">تنويه</w:t>
      </w:r>
    </w:p>
    <w:p>
      <w:pPr>
        <w:bidi/>
        <w:spacing w:after="140" w:before="0" w:line="300"/>
        <w:jc w:val="start"/>
      </w:pPr>
      <w:r>
        <w:rPr>
          <w:rFonts w:ascii="Arial" w:cs="Arial" w:eastAsia="Arial" w:hAnsi="Arial"/>
          <w:b w:val="false"/>
          <w:bCs w:val="false"/>
          <w:color w:val="16202A"/>
          <w:sz w:val="21"/>
          <w:szCs w:val="21"/>
          <w:rtl/>
        </w:rPr>
        <w:t xml:space="preserve">شركة نَسَق وجميع البيانات والأسماء والأرقام الواردة في هذه الوثيقة افتراضية، وأُعدّت لأغراض التدريب على تطبيق الضوابط الأساسية للأمن السيبراني.</w:t>
      </w:r>
    </w:p>
    <w:sectPr>
      <w:headerReference w:type="default" r:id="rId9"/>
      <w:footerReference w:type="default" r:id="rId10"/>
      <w:pgSz w:w="11906" w:h="16838"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CS-DOC-006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start"/>
    </w:pPr>
    <w:r>
      <w:rPr>
        <w:rFonts w:ascii="Arial" w:cs="Arial" w:eastAsia="Arial" w:hAnsi="Arial"/>
        <w:b/>
        <w:bCs/>
        <w:color w:val="9E2A2B"/>
        <w:sz w:val="16"/>
        <w:szCs w:val="16"/>
        <w:rtl/>
      </w:rPr>
      <w:t xml:space="preserve">سري</w:t>
    </w:r>
    <w:r>
      <w:rPr>
        <w:rFonts w:ascii="Arial" w:cs="Arial" w:eastAsia="Arial" w:hAnsi="Arial"/>
        <w:b w:val="false"/>
        <w:bCs w:val="false"/>
        <w:color w:val="5A6672"/>
        <w:sz w:val="16"/>
        <w:szCs w:val="16"/>
        <w:rtl/>
      </w:rPr>
      <w:t xml:space="preserve">        صفحة </w:t>
    </w:r>
    <w:r>
      <w:rPr>
        <w:rFonts w:ascii="Arial" w:cs="Arial" w:eastAsia="Arial" w:hAnsi="Arial"/>
        <w:color w:val="5A6672"/>
        <w:sz w:val="16"/>
        <w:szCs w:val="16"/>
      </w:rPr>
      <w:fldChar w:fldCharType="begin"/>
      <w:instrText xml:space="preserve">PAGE</w:instrText>
      <w:fldChar w:fldCharType="separate"/>
      <w:fldChar w:fldCharType="end"/>
    </w:r>
    <w:r>
      <w:rPr>
        <w:rFonts w:ascii="Arial" w:cs="Arial" w:eastAsia="Arial" w:hAnsi="Arial"/>
        <w:b w:val="false"/>
        <w:bCs w:val="false"/>
        <w:color w:val="5A6672"/>
        <w:sz w:val="16"/>
        <w:szCs w:val="16"/>
        <w:rtl/>
      </w:rPr>
      <w:t xml:space="preserve"> من </w:t>
    </w:r>
    <w:r>
      <w:rPr>
        <w:rFonts w:ascii="Arial" w:cs="Arial" w:eastAsia="Arial" w:hAnsi="Arial"/>
        <w:color w:val="5A6672"/>
        <w:sz w:val="16"/>
        <w:szCs w:val="16"/>
      </w:rPr>
      <w:fldChar w:fldCharType="begin"/>
      <w:instrText xml:space="preserve">NUMPAGES</w:instrText>
      <w:fldChar w:fldCharType="separate"/>
      <w:fldChar w:fldCharType="end"/>
    </w:r>
    <w:r>
      <w:rPr>
        <w:rFonts w:ascii="Arial" w:cs="Arial" w:eastAsia="Arial" w:hAnsi="Arial"/>
        <w:color w:val="5A6672"/>
        <w:sz w:val="16"/>
        <w:szCs w:val="16"/>
      </w:rPr>
      <w:t xml:space="preserve">	CS-DOC-006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0E3" w:sz="2" w:space="6"/>
      </w:pBdr>
      <w:bidi/>
      <w:jc w:val="start"/>
    </w:pPr>
    <w:r>
      <w:rPr>
        <w:rFonts w:ascii="Arial" w:cs="Arial" w:eastAsia="Arial" w:hAnsi="Arial"/>
        <w:b/>
        <w:bCs/>
        <w:color w:val="15325C"/>
        <w:sz w:val="16"/>
        <w:szCs w:val="16"/>
        <w:rtl/>
      </w:rPr>
      <w:t xml:space="preserve">شركة نَسَق للحلول الرقمية — إدارة الأمن السيبراني</w:t>
    </w:r>
    <w:r>
      <w:rPr>
        <w:rFonts w:ascii="Arial" w:cs="Arial" w:eastAsia="Arial" w:hAnsi="Arial"/>
        <w:color w:val="5A6672"/>
        <w:sz w:val="16"/>
        <w:szCs w:val="16"/>
      </w:rPr>
      <w:t xml:space="preserve">	CS-DOC-006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2026-10-04T11:48:01.360Z</dcterms:created>
  <dcterms:modified xsi:type="dcterms:W3CDTF">2026-10-04T11:48:01.360Z</dcterms:modified>
</cp:coreProperties>
</file>

<file path=docProps/custom.xml><?xml version="1.0" encoding="utf-8"?>
<Properties xmlns="http://schemas.openxmlformats.org/officeDocument/2006/custom-properties" xmlns:vt="http://schemas.openxmlformats.org/officeDocument/2006/docPropsVTypes"/>
</file>