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0C1F3D" w:color="auto" w:val="clear"/>
            <w:tcMar>
              <w:top w:type="dxa" w:w="340"/>
              <w:left w:type="dxa" w:w="340"/>
              <w:bottom w:type="dxa" w:w="340"/>
              <w:right w:type="dxa" w:w="340"/>
            </w:tcMar>
          </w:tcPr>
          <w:p>
            <w:pPr>
              <w:bidi/>
              <w:spacing w:after="40" w:before="0" w:line="300"/>
              <w:jc w:val="start"/>
            </w:pPr>
            <w:r>
              <w:rPr>
                <w:rFonts w:ascii="Arial" w:cs="Arial" w:eastAsia="Arial" w:hAnsi="Arial"/>
                <w:b/>
                <w:bCs/>
                <w:color w:val="FFFFFF"/>
                <w:sz w:val="30"/>
                <w:szCs w:val="30"/>
                <w:rtl/>
              </w:rPr>
              <w:t xml:space="preserve">شركة نَسَق للحلول الرقمية</w:t>
            </w:r>
          </w:p>
          <w:p>
            <w:pPr>
              <w:bidi/>
              <w:spacing w:after="30" w:before="0" w:line="300"/>
              <w:jc w:val="start"/>
            </w:pPr>
            <w:r>
              <w:rPr>
                <w:rFonts w:ascii="Arial" w:cs="Arial" w:eastAsia="Arial" w:hAnsi="Arial"/>
                <w:b w:val="false"/>
                <w:bCs w:val="false"/>
                <w:color w:val="9FB6C9"/>
                <w:sz w:val="18"/>
                <w:szCs w:val="18"/>
                <w:rtl/>
              </w:rPr>
              <w:t xml:space="preserve">إدارة الأمن السيبراني</w:t>
            </w:r>
          </w:p>
          <w:p>
            <w:pPr>
              <w:bidi/>
              <w:spacing w:after="700" w:before="0" w:line="300"/>
              <w:jc w:val="start"/>
            </w:pPr>
            <w:r>
              <w:rPr>
                <w:rFonts w:ascii="Arial" w:cs="Arial" w:eastAsia="Arial" w:hAnsi="Arial"/>
                <w:color w:val="6E8CA6"/>
                <w:sz w:val="14"/>
                <w:szCs w:val="14"/>
              </w:rPr>
              <w:t xml:space="preserve">NASAQ DIGITAL SOLUTIONS CO</w:t>
            </w:r>
          </w:p>
          <w:p>
            <w:pPr>
              <w:bidi/>
              <w:spacing w:after="90" w:before="0" w:line="300"/>
              <w:jc w:val="start"/>
            </w:pPr>
            <w:r>
              <w:rPr>
                <w:rFonts w:ascii="Arial" w:cs="Arial" w:eastAsia="Arial" w:hAnsi="Arial"/>
                <w:b w:val="false"/>
                <w:bCs w:val="false"/>
                <w:color w:val="C9A227"/>
                <w:sz w:val="19"/>
                <w:szCs w:val="19"/>
                <w:rtl/>
              </w:rPr>
              <w:t xml:space="preserve">جدول معتمد</w:t>
            </w:r>
          </w:p>
          <w:p>
            <w:pPr>
              <w:bidi/>
              <w:spacing w:after="120" w:before="0" w:line="420"/>
              <w:jc w:val="start"/>
            </w:pPr>
            <w:r>
              <w:rPr>
                <w:rFonts w:ascii="Arial" w:cs="Arial" w:eastAsia="Arial" w:hAnsi="Arial"/>
                <w:b/>
                <w:bCs/>
                <w:color w:val="FFFFFF"/>
                <w:sz w:val="52"/>
                <w:szCs w:val="52"/>
                <w:rtl/>
              </w:rPr>
              <w:t xml:space="preserve">جدول المراجعات الدورية الشامل</w:t>
            </w:r>
          </w:p>
          <w:p>
            <w:pPr>
              <w:bidi/>
              <w:spacing w:after="260" w:before="0" w:line="300"/>
              <w:jc w:val="start"/>
            </w:pPr>
            <w:r>
              <w:rPr>
                <w:rFonts w:ascii="Arial" w:cs="Arial" w:eastAsia="Arial" w:hAnsi="Arial"/>
                <w:b w:val="false"/>
                <w:bCs w:val="false"/>
                <w:color w:val="AFC4D4"/>
                <w:sz w:val="22"/>
                <w:szCs w:val="22"/>
                <w:rtl/>
              </w:rPr>
              <w:t xml:space="preserve">ثمانية عشر مكوّناً فرعياً · النطاق والدورية والمالك</w:t>
            </w:r>
          </w:p>
          <w:p>
            <w:pPr>
              <w:bidi/>
              <w:spacing w:after="0" w:before="0" w:line="300"/>
              <w:jc w:val="start"/>
            </w:pPr>
            <w:r>
              <w:rPr>
                <w:rFonts w:ascii="Arial" w:cs="Arial" w:eastAsia="Arial" w:hAnsi="Arial"/>
                <w:b/>
                <w:bCs/>
                <w:color w:val="C9A227"/>
                <w:sz w:val="18"/>
                <w:szCs w:val="18"/>
                <w:rtl/>
              </w:rPr>
              <w:t xml:space="preserve">تصنيف الوثيقة: سري</w:t>
            </w:r>
          </w:p>
        </w:tc>
      </w:tr>
    </w:tbl>
    <w:p>
      <w:pPr>
        <w:bidi/>
        <w:spacing w:after="260" w:before="0" w:line="300"/>
        <w:jc w:val="start"/>
      </w:pPr>
      <w:r>
        <w:rPr>
          <w:rFonts w:ascii="Arial" w:cs="Arial" w:eastAsia="Arial" w:hAnsi="Arial"/>
          <w:b w:val="false"/>
          <w:bCs w:val="false"/>
          <w:color w:val="16202A"/>
          <w:sz w:val="12"/>
          <w:szCs w:val="12"/>
          <w:rtl/>
        </w:rPr>
        <w:t xml:space="preserve"/>
      </w:r>
    </w:p>
    <w:tbl>
      <w:tblPr>
        <w:bidiVisual/>
        <w:tblW w:type="dxa" w:w="9360"/>
        <w:tblBorders>
          <w:top w:val="none"/>
          <w:left w:val="none"/>
          <w:bottom w:val="none"/>
          <w:right w:val="none"/>
          <w:insideH w:val="single" w:color="D8E0E3" w:sz="2"/>
          <w:insideV w:val="none"/>
        </w:tblBorders>
      </w:tblPr>
      <w:tblGrid>
        <w:gridCol w:w="3400"/>
        <w:gridCol w:w="5960"/>
      </w:tblGrid>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رقم الوثيقة</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CS-PLN-006</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رقم الإصدار</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1.0</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مالك الوثيقة</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وحدة الحوكمة والمخاطر والالتزام</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جهة الاعتماد</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الرئيس التنفيذي — صاحب الصلاحية</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تاريخ الاعتماد</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١ ربيع الأول ١٤٤٨هـ</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تاريخ المراجعة القادمة</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١ ربيع الأول ١٤٤٩هـ</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الضابط المرتبط</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ECC-2:2024 — ضوابط المراجعة الدورية</w:t>
            </w:r>
          </w:p>
        </w:tc>
      </w:tr>
    </w:tbl>
    <w:p>
      <w:pPr>
        <w:bidi/>
        <w:spacing w:after="360" w:before="0" w:line="300"/>
        <w:jc w:val="start"/>
      </w:pPr>
      <w:r>
        <w:rPr>
          <w:rFonts w:ascii="Arial" w:cs="Arial" w:eastAsia="Arial" w:hAnsi="Arial"/>
          <w:b w:val="false"/>
          <w:bCs w:val="false"/>
          <w:color w:val="16202A"/>
          <w:sz w:val="12"/>
          <w:szCs w:val="12"/>
          <w:rtl/>
        </w:rPr>
        <w:t xml:space="preserve"/>
      </w:r>
    </w:p>
    <w:p>
      <w:pPr>
        <w:bidi/>
        <w:spacing w:after="0" w:before="0" w:line="300"/>
        <w:jc w:val="start"/>
      </w:pPr>
      <w:r>
        <w:rPr>
          <w:rFonts w:ascii="Arial" w:cs="Arial" w:eastAsia="Arial" w:hAnsi="Arial"/>
          <w:b w:val="false"/>
          <w:bCs w:val="false"/>
          <w:color w:val="5A6672"/>
          <w:sz w:val="16"/>
          <w:szCs w:val="16"/>
          <w:rtl/>
        </w:rPr>
        <w:t xml:space="preserve">هذه الوثيقة ملكية فكرية لـ شركة نَسَق للحلول الرقمية، وتصنيفها «سري». لا يجوز نسخها أو تداولها خارج الشركة دون موافقة خطية من مالك الوثيقة.</w:t>
      </w:r>
    </w:p>
    <w:p>
      <w:pPr>
        <w:sectPr>
          <w:headerReference w:type="default" r:id="rId7"/>
          <w:footerReference w:type="default" r:id="rId8"/>
          <w:pgSz w:w="11906" w:h="16838" w:orient="portrait"/>
          <w:pgMar w:top="1000" w:right="1080" w:bottom="900" w:left="1080" w:header="708" w:footer="708" w:gutter="0"/>
          <w:pgNumType/>
          <w:docGrid w:linePitch="360"/>
        </w:sectPr>
      </w:pPr>
    </w:p>
    <w:p>
      <w:pPr>
        <w:pStyle w:val="Heading1"/>
        <w:bidi/>
        <w:spacing w:after="200" w:before="0" w:line="300"/>
        <w:jc w:val="start"/>
      </w:pPr>
      <w:r>
        <w:rPr>
          <w:rFonts w:ascii="Arial" w:cs="Arial" w:eastAsia="Arial" w:hAnsi="Arial"/>
          <w:b/>
          <w:bCs/>
          <w:color w:val="15325C"/>
          <w:sz w:val="32"/>
          <w:szCs w:val="32"/>
          <w:rtl/>
        </w:rPr>
        <w:t xml:space="preserve">جدول المراجعات الدورية الشامل</w:t>
      </w:r>
    </w:p>
    <w:p>
      <w:pPr>
        <w:pStyle w:val="Heading2"/>
        <w:bidi/>
        <w:spacing w:after="120" w:before="280" w:line="300"/>
        <w:jc w:val="start"/>
      </w:pPr>
      <w:r>
        <w:rPr>
          <w:rFonts w:ascii="Arial" w:cs="Arial" w:eastAsia="Arial" w:hAnsi="Arial"/>
          <w:b/>
          <w:bCs/>
          <w:color w:val="15325C"/>
          <w:sz w:val="27"/>
          <w:szCs w:val="27"/>
          <w:rtl/>
        </w:rPr>
        <w:t xml:space="preserve">الغرض</w:t>
      </w:r>
    </w:p>
    <w:p>
      <w:pPr>
        <w:bidi/>
        <w:spacing w:after="140" w:before="0" w:line="300"/>
        <w:jc w:val="start"/>
      </w:pPr>
      <w:r>
        <w:rPr>
          <w:rFonts w:ascii="Arial" w:cs="Arial" w:eastAsia="Arial" w:hAnsi="Arial"/>
          <w:b w:val="false"/>
          <w:bCs w:val="false"/>
          <w:color w:val="16202A"/>
          <w:sz w:val="21"/>
          <w:szCs w:val="21"/>
          <w:rtl/>
        </w:rPr>
        <w:t xml:space="preserve">يحدد هذا الجدول دورة مراجعة كل مكوّن فرعي في شركة نَسَق للحلول الرقمية، ونطاق كل مراجعة ومالكها ودليل إتمامها. ويستوفي ضوابط المراجعة الدورية الثمانية عشر في المكونات الأربعة، ويُعدّ مخرَجاً من حزمة العمل WP-23.</w:t>
      </w:r>
    </w:p>
    <w:p>
      <w:pPr>
        <w:pStyle w:val="Heading2"/>
        <w:bidi/>
        <w:spacing w:after="120" w:before="280" w:line="300"/>
        <w:jc w:val="start"/>
      </w:pPr>
      <w:r>
        <w:rPr>
          <w:rFonts w:ascii="Arial" w:cs="Arial" w:eastAsia="Arial" w:hAnsi="Arial"/>
          <w:b/>
          <w:bCs/>
          <w:color w:val="15325C"/>
          <w:sz w:val="27"/>
          <w:szCs w:val="27"/>
          <w:rtl/>
        </w:rPr>
        <w:t xml:space="preserve">المرجعية</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5917"/>
        <w:gridCol w:w="3443"/>
      </w:tblGrid>
      <w:tr>
        <w:trPr>
          <w:tblHeader/>
        </w:trPr>
        <w:tc>
          <w:tcPr>
            <w:tcW w:type="dxa" w:w="5917"/>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المرجع</w:t>
            </w:r>
          </w:p>
        </w:tc>
        <w:tc>
          <w:tcPr>
            <w:tcW w:type="dxa" w:w="3443"/>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العلاقة</w:t>
            </w:r>
          </w:p>
        </w:tc>
      </w:tr>
      <w:tr>
        <w:trPr>
          <w:tblHeader w:val="false"/>
        </w:trPr>
        <w:tc>
          <w:tcPr>
            <w:tcW w:type="dxa" w:w="591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ECC-2:2024 — ضوابط المراجعة الدورية في المكونات الأربعة</w:t>
            </w:r>
          </w:p>
        </w:tc>
        <w:tc>
          <w:tcPr>
            <w:tcW w:type="dxa" w:w="344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الضوابط التي يستوفيها هذا الجدول</w:t>
            </w:r>
          </w:p>
        </w:tc>
      </w:tr>
      <w:tr>
        <w:trPr>
          <w:tblHeader w:val="false"/>
        </w:trPr>
        <w:tc>
          <w:tcPr>
            <w:tcW w:type="dxa" w:w="591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إجراء المراجعة والتدقيق الدوري CS-PRO-007</w:t>
            </w:r>
          </w:p>
        </w:tc>
        <w:tc>
          <w:tcPr>
            <w:tcW w:type="dxa" w:w="344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المنهجية المتبعة</w:t>
            </w:r>
          </w:p>
        </w:tc>
      </w:tr>
      <w:tr>
        <w:trPr>
          <w:tblHeader w:val="false"/>
        </w:trPr>
        <w:tc>
          <w:tcPr>
            <w:tcW w:type="dxa" w:w="591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سجل وثائق الأمن السيبراني CS-DOC-005</w:t>
            </w:r>
          </w:p>
        </w:tc>
        <w:tc>
          <w:tcPr>
            <w:tcW w:type="dxa" w:w="344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جداول مراجعة الوثائق</w:t>
            </w:r>
          </w:p>
        </w:tc>
      </w:tr>
      <w:tr>
        <w:trPr>
          <w:tblHeader w:val="false"/>
        </w:trPr>
        <w:tc>
          <w:tcPr>
            <w:tcW w:type="dxa" w:w="591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خطة المراجعة والتدقيق السنوية CS-PLN-003</w:t>
            </w:r>
          </w:p>
        </w:tc>
        <w:tc>
          <w:tcPr>
            <w:tcW w:type="dxa" w:w="344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مراجعة تطبيق الضوابط</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التمييز بين ثلاثة أنواع من المراجعة</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433"/>
        <w:gridCol w:w="4492"/>
        <w:gridCol w:w="2435"/>
      </w:tblGrid>
      <w:tr>
        <w:trPr>
          <w:tblHeader/>
        </w:trPr>
        <w:tc>
          <w:tcPr>
            <w:tcW w:type="dxa" w:w="2433"/>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النوع</w:t>
            </w:r>
          </w:p>
        </w:tc>
        <w:tc>
          <w:tcPr>
            <w:tcW w:type="dxa" w:w="4492"/>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ما يُراجَع</w:t>
            </w:r>
          </w:p>
        </w:tc>
        <w:tc>
          <w:tcPr>
            <w:tcW w:type="dxa" w:w="2435"/>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المرجع</w:t>
            </w:r>
          </w:p>
        </w:tc>
      </w:tr>
      <w:tr>
        <w:trPr>
          <w:tblHeader w:val="false"/>
        </w:trPr>
        <w:tc>
          <w:tcPr>
            <w:tcW w:type="dxa" w:w="243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مراجعة الوثيقة</w:t>
            </w:r>
          </w:p>
        </w:tc>
        <w:tc>
          <w:tcPr>
            <w:tcW w:type="dxa" w:w="449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هل الوثيقة محدَّثة ومعتمدة</w:t>
            </w:r>
          </w:p>
        </w:tc>
        <w:tc>
          <w:tcPr>
            <w:tcW w:type="dxa" w:w="243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CS-DOC-005</w:t>
            </w:r>
          </w:p>
        </w:tc>
      </w:tr>
      <w:tr>
        <w:trPr>
          <w:tblHeader w:val="false"/>
        </w:trPr>
        <w:tc>
          <w:tcPr>
            <w:tcW w:type="dxa" w:w="243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مراجعة التطبيق</w:t>
            </w:r>
          </w:p>
        </w:tc>
        <w:tc>
          <w:tcPr>
            <w:tcW w:type="dxa" w:w="449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هل الضابط مطبَّق فعلياً وبدليل</w:t>
            </w:r>
          </w:p>
        </w:tc>
        <w:tc>
          <w:tcPr>
            <w:tcW w:type="dxa" w:w="243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CS-PLN-003 · CS-PRO-007</w:t>
            </w:r>
          </w:p>
        </w:tc>
      </w:tr>
      <w:tr>
        <w:trPr>
          <w:tblHeader w:val="false"/>
        </w:trPr>
        <w:tc>
          <w:tcPr>
            <w:tcW w:type="dxa" w:w="2433"/>
            <w:tcMar>
              <w:top w:type="dxa" w:w="110"/>
              <w:left w:type="dxa" w:w="120"/>
              <w:bottom w:type="dxa" w:w="110"/>
              <w:right w:type="dxa" w:w="120"/>
            </w:tcMar>
            <w:vAlign w:val="center"/>
          </w:tcPr>
          <w:p>
            <w:pPr>
              <w:bidi/>
              <w:spacing w:after="0" w:before="0" w:line="260"/>
              <w:jc w:val="start"/>
            </w:pPr>
            <w:r>
              <w:rPr>
                <w:rFonts w:ascii="Arial" w:cs="Arial" w:eastAsia="Arial" w:hAnsi="Arial"/>
                <w:b/>
                <w:bCs/>
                <w:color w:val="15325C"/>
                <w:sz w:val="19"/>
                <w:szCs w:val="19"/>
                <w:rtl/>
              </w:rPr>
              <w:t xml:space="preserve">مراجعة المكوّن الفرعي</w:t>
            </w:r>
          </w:p>
        </w:tc>
        <w:tc>
          <w:tcPr>
            <w:tcW w:type="dxa" w:w="449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هل متطلبات المكوّن كاملةً لا تزال ملائمة وفعّالة</w:t>
            </w:r>
          </w:p>
        </w:tc>
        <w:tc>
          <w:tcPr>
            <w:tcW w:type="dxa" w:w="2435"/>
            <w:tcMar>
              <w:top w:type="dxa" w:w="110"/>
              <w:left w:type="dxa" w:w="120"/>
              <w:bottom w:type="dxa" w:w="110"/>
              <w:right w:type="dxa" w:w="120"/>
            </w:tcMar>
            <w:vAlign w:val="center"/>
          </w:tcPr>
          <w:p>
            <w:pPr>
              <w:bidi/>
              <w:spacing w:after="0" w:before="0" w:line="260"/>
              <w:jc w:val="start"/>
            </w:pPr>
            <w:r>
              <w:rPr>
                <w:rFonts w:ascii="Arial" w:cs="Arial" w:eastAsia="Arial" w:hAnsi="Arial"/>
                <w:b/>
                <w:bCs/>
                <w:color w:val="15325C"/>
                <w:sz w:val="19"/>
                <w:szCs w:val="19"/>
                <w:rtl/>
              </w:rPr>
              <w:t xml:space="preserve">هذا الجدول</w:t>
            </w:r>
          </w:p>
        </w:tc>
      </w:tr>
    </w:tbl>
    <w:p>
      <w:pPr>
        <w:bidi/>
        <w:spacing w:after="100" w:before="0" w:line="300"/>
        <w:jc w:val="start"/>
      </w:pPr>
      <w:r>
        <w:rPr>
          <w:rFonts w:ascii="Arial" w:cs="Arial" w:eastAsia="Arial" w:hAnsi="Arial"/>
          <w:b w:val="false"/>
          <w:bCs w:val="false"/>
          <w:color w:val="16202A"/>
          <w:sz w:val="8"/>
          <w:szCs w:val="8"/>
          <w:rtl/>
        </w:rPr>
        <w:t xml:space="preserve"/>
      </w:r>
    </w:p>
    <w:p>
      <w:pPr>
        <w:bidi/>
        <w:spacing w:after="140" w:before="0" w:line="300"/>
        <w:jc w:val="start"/>
      </w:pPr>
      <w:r>
        <w:rPr>
          <w:rFonts w:ascii="Arial" w:cs="Arial" w:eastAsia="Arial" w:hAnsi="Arial"/>
          <w:b/>
          <w:bCs/>
          <w:color w:val="15325C"/>
          <w:sz w:val="21"/>
          <w:szCs w:val="21"/>
          <w:rtl/>
        </w:rPr>
        <w:t xml:space="preserve">الخلط بينها شائع.</w:t>
      </w:r>
      <w:r>
        <w:rPr>
          <w:rFonts w:ascii="Arial" w:cs="Arial" w:eastAsia="Arial" w:hAnsi="Arial"/>
          <w:b w:val="false"/>
          <w:bCs w:val="false"/>
          <w:color w:val="16202A"/>
          <w:sz w:val="21"/>
          <w:szCs w:val="21"/>
          <w:rtl/>
        </w:rPr>
        <w:t xml:space="preserve"> مراجعة الوثيقة تسأل: هل تجاوزت تاريخها؟ ومراجعة التطبيق تسأل: هل نُفّذت؟ أما مراجعة المكوّن الفرعي فتسأل: هل ما زالت هذه المتطلبات مناسبة لبيئتنا اليوم؟</w:t>
      </w:r>
    </w:p>
    <w:p>
      <w:pPr>
        <w:pStyle w:val="Heading2"/>
        <w:bidi/>
        <w:spacing w:after="120" w:before="280" w:line="300"/>
        <w:jc w:val="start"/>
      </w:pPr>
      <w:r>
        <w:rPr>
          <w:rFonts w:ascii="Arial" w:cs="Arial" w:eastAsia="Arial" w:hAnsi="Arial"/>
          <w:b/>
          <w:bCs/>
          <w:color w:val="15325C"/>
          <w:sz w:val="27"/>
          <w:szCs w:val="27"/>
          <w:rtl/>
        </w:rPr>
        <w:t xml:space="preserve">قاعدة الإغلاق</w:t>
      </w:r>
    </w:p>
    <w:p>
      <w:pPr>
        <w:bidi/>
        <w:spacing w:after="140" w:before="0" w:line="300"/>
        <w:jc w:val="start"/>
      </w:pPr>
      <w:r>
        <w:rPr>
          <w:rFonts w:ascii="Arial" w:cs="Arial" w:eastAsia="Arial" w:hAnsi="Arial"/>
          <w:b/>
          <w:bCs/>
          <w:color w:val="15325C"/>
          <w:sz w:val="21"/>
          <w:szCs w:val="21"/>
          <w:rtl/>
        </w:rPr>
        <w:t xml:space="preserve">لا يُعدّ ضابط المراجعة الدورية مطبَّقاً بمجرد اعتماد جدول.</w:t>
      </w:r>
      <w:r>
        <w:rPr>
          <w:rFonts w:ascii="Arial" w:cs="Arial" w:eastAsia="Arial" w:hAnsi="Arial"/>
          <w:b w:val="false"/>
          <w:bCs w:val="false"/>
          <w:color w:val="16202A"/>
          <w:sz w:val="21"/>
          <w:szCs w:val="21"/>
          <w:rtl/>
        </w:rPr>
        <w:t xml:space="preserve"> يُغلق بإتمام دورة واحدة كاملة موثقة تتضمن: نطاقاً محدداً، وأدلة مفحوصة، وملاحظات، وإجراءات تصحيحية، واعتماداً.</w:t>
      </w:r>
    </w:p>
    <w:p>
      <w:pPr>
        <w:pStyle w:val="Heading2"/>
        <w:bidi/>
        <w:spacing w:after="120" w:before="280" w:line="300"/>
        <w:jc w:val="start"/>
      </w:pPr>
      <w:r>
        <w:rPr>
          <w:rFonts w:ascii="Arial" w:cs="Arial" w:eastAsia="Arial" w:hAnsi="Arial"/>
          <w:b/>
          <w:bCs/>
          <w:color w:val="15325C"/>
          <w:sz w:val="27"/>
          <w:szCs w:val="27"/>
          <w:rtl/>
        </w:rPr>
        <w:t xml:space="preserve">جدول المراجعات</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1414"/>
        <w:gridCol w:w="1414"/>
        <w:gridCol w:w="3700"/>
        <w:gridCol w:w="1414"/>
        <w:gridCol w:w="1418"/>
      </w:tblGrid>
      <w:tr>
        <w:trPr>
          <w:tblHeader/>
        </w:trPr>
        <w:tc>
          <w:tcPr>
            <w:tcW w:type="dxa" w:w="1414"/>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الضابط</w:t>
            </w:r>
          </w:p>
        </w:tc>
        <w:tc>
          <w:tcPr>
            <w:tcW w:type="dxa" w:w="1414"/>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المكوّن الفرعي</w:t>
            </w:r>
          </w:p>
        </w:tc>
        <w:tc>
          <w:tcPr>
            <w:tcW w:type="dxa" w:w="370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نطاق المراجعة</w:t>
            </w:r>
          </w:p>
        </w:tc>
        <w:tc>
          <w:tcPr>
            <w:tcW w:type="dxa" w:w="1414"/>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الدورية</w:t>
            </w:r>
          </w:p>
        </w:tc>
        <w:tc>
          <w:tcPr>
            <w:tcW w:type="dxa" w:w="1418"/>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المالك</w:t>
            </w:r>
          </w:p>
        </w:tc>
      </w:tr>
      <w:tr>
        <w:trPr>
          <w:tblHeader w:val="false"/>
        </w:trPr>
        <w:tc>
          <w:tcPr>
            <w:tcW w:type="dxa" w:w="141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٢-١-٦</w:t>
            </w:r>
          </w:p>
        </w:tc>
        <w:tc>
          <w:tcPr>
            <w:tcW w:type="dxa" w:w="141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إدارة الأصول</w:t>
            </w:r>
          </w:p>
        </w:tc>
        <w:tc>
          <w:tcPr>
            <w:tcW w:type="dxa" w:w="370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اكتمال السجل · صحة التصنيف · وجود ملّاك · الأصول غير المسجَّلة</w:t>
            </w:r>
          </w:p>
        </w:tc>
        <w:tc>
          <w:tcPr>
            <w:tcW w:type="dxa" w:w="141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ربع سنوي</w:t>
            </w:r>
          </w:p>
        </w:tc>
        <w:tc>
          <w:tcPr>
            <w:tcW w:type="dxa" w:w="141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مدير العمليات السحابية</w:t>
            </w:r>
          </w:p>
        </w:tc>
      </w:tr>
      <w:tr>
        <w:trPr>
          <w:tblHeader w:val="false"/>
        </w:trPr>
        <w:tc>
          <w:tcPr>
            <w:tcW w:type="dxa" w:w="141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٢-٢-٤</w:t>
            </w:r>
          </w:p>
        </w:tc>
        <w:tc>
          <w:tcPr>
            <w:tcW w:type="dxa" w:w="141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الهويات والصلاحيات</w:t>
            </w:r>
          </w:p>
        </w:tc>
        <w:tc>
          <w:tcPr>
            <w:tcW w:type="dxa" w:w="370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الصلاحيات الفعلية مقابل الأدوار · الحسابات الخاملة · الحسابات ذات الصلاحيات الهامة</w:t>
            </w:r>
          </w:p>
        </w:tc>
        <w:tc>
          <w:tcPr>
            <w:tcW w:type="dxa" w:w="141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نصف سنوي</w:t>
            </w:r>
          </w:p>
        </w:tc>
        <w:tc>
          <w:tcPr>
            <w:tcW w:type="dxa" w:w="141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مدير العمليات السحابية</w:t>
            </w:r>
          </w:p>
        </w:tc>
      </w:tr>
      <w:tr>
        <w:trPr>
          <w:tblHeader w:val="false"/>
        </w:trPr>
        <w:tc>
          <w:tcPr>
            <w:tcW w:type="dxa" w:w="141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٢-٣-٤</w:t>
            </w:r>
          </w:p>
        </w:tc>
        <w:tc>
          <w:tcPr>
            <w:tcW w:type="dxa" w:w="141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حماية الأنظمة</w:t>
            </w:r>
          </w:p>
        </w:tc>
        <w:tc>
          <w:tcPr>
            <w:tcW w:type="dxa" w:w="370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الالتزام بالتحصين · تغطية الحماية من البرمجيات الضارة · دورة التحديثات</w:t>
            </w:r>
          </w:p>
        </w:tc>
        <w:tc>
          <w:tcPr>
            <w:tcW w:type="dxa" w:w="141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نصف سنوي</w:t>
            </w:r>
          </w:p>
        </w:tc>
        <w:tc>
          <w:tcPr>
            <w:tcW w:type="dxa" w:w="141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مدير العمليات السحابية</w:t>
            </w:r>
          </w:p>
        </w:tc>
      </w:tr>
      <w:tr>
        <w:trPr>
          <w:tblHeader w:val="false"/>
        </w:trPr>
        <w:tc>
          <w:tcPr>
            <w:tcW w:type="dxa" w:w="141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٢-٤-٤</w:t>
            </w:r>
          </w:p>
        </w:tc>
        <w:tc>
          <w:tcPr>
            <w:tcW w:type="dxa" w:w="141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حماية البريد</w:t>
            </w:r>
          </w:p>
        </w:tc>
        <w:tc>
          <w:tcPr>
            <w:tcW w:type="dxa" w:w="370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فعالية التصفية · سجلات موثوقية المجالات · نتائج تمارين التصيّد</w:t>
            </w:r>
          </w:p>
        </w:tc>
        <w:tc>
          <w:tcPr>
            <w:tcW w:type="dxa" w:w="141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نصف سنوي</w:t>
            </w:r>
          </w:p>
        </w:tc>
        <w:tc>
          <w:tcPr>
            <w:tcW w:type="dxa" w:w="141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مركز العمليات الأمنية</w:t>
            </w:r>
          </w:p>
        </w:tc>
      </w:tr>
      <w:tr>
        <w:trPr>
          <w:tblHeader w:val="false"/>
        </w:trPr>
        <w:tc>
          <w:tcPr>
            <w:tcW w:type="dxa" w:w="141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٢-٥-٤</w:t>
            </w:r>
          </w:p>
        </w:tc>
        <w:tc>
          <w:tcPr>
            <w:tcW w:type="dxa" w:w="141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أمن الشبكات</w:t>
            </w:r>
          </w:p>
        </w:tc>
        <w:tc>
          <w:tcPr>
            <w:tcW w:type="dxa" w:w="370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قواعد جدار الحماية · التصميم الشبكي · اختبار العزل</w:t>
            </w:r>
          </w:p>
        </w:tc>
        <w:tc>
          <w:tcPr>
            <w:tcW w:type="dxa" w:w="141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ربع سنوي</w:t>
            </w:r>
          </w:p>
        </w:tc>
        <w:tc>
          <w:tcPr>
            <w:tcW w:type="dxa" w:w="141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مدير العمليات السحابية</w:t>
            </w:r>
          </w:p>
        </w:tc>
      </w:tr>
      <w:tr>
        <w:trPr>
          <w:tblHeader w:val="false"/>
        </w:trPr>
        <w:tc>
          <w:tcPr>
            <w:tcW w:type="dxa" w:w="141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٢-٦-٤</w:t>
            </w:r>
          </w:p>
        </w:tc>
        <w:tc>
          <w:tcPr>
            <w:tcW w:type="dxa" w:w="141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الأجهزة المحمولة</w:t>
            </w:r>
          </w:p>
        </w:tc>
        <w:tc>
          <w:tcPr>
            <w:tcW w:type="dxa" w:w="370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الأجهزة المسجَّلة · الأجهزة غير الممتثلة · حالات الحذف عن بُعد</w:t>
            </w:r>
          </w:p>
        </w:tc>
        <w:tc>
          <w:tcPr>
            <w:tcW w:type="dxa" w:w="141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ربع سنوي</w:t>
            </w:r>
          </w:p>
        </w:tc>
        <w:tc>
          <w:tcPr>
            <w:tcW w:type="dxa" w:w="141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مدير العمليات السحابية</w:t>
            </w:r>
          </w:p>
        </w:tc>
      </w:tr>
      <w:tr>
        <w:trPr>
          <w:tblHeader w:val="false"/>
        </w:trPr>
        <w:tc>
          <w:tcPr>
            <w:tcW w:type="dxa" w:w="141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٢-٧-٣</w:t>
            </w:r>
          </w:p>
        </w:tc>
        <w:tc>
          <w:tcPr>
            <w:tcW w:type="dxa" w:w="141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حماية البيانات</w:t>
            </w:r>
          </w:p>
        </w:tc>
        <w:tc>
          <w:tcPr>
            <w:tcW w:type="dxa" w:w="370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تطبيق الضوابط حسب التصنيف · فعالية منع التسرب · تقنيع بيانات الاختبار</w:t>
            </w:r>
          </w:p>
        </w:tc>
        <w:tc>
          <w:tcPr>
            <w:tcW w:type="dxa" w:w="141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نصف سنوي</w:t>
            </w:r>
          </w:p>
        </w:tc>
        <w:tc>
          <w:tcPr>
            <w:tcW w:type="dxa" w:w="141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وحدة الحوكمة</w:t>
            </w:r>
          </w:p>
        </w:tc>
      </w:tr>
      <w:tr>
        <w:trPr>
          <w:tblHeader w:val="false"/>
        </w:trPr>
        <w:tc>
          <w:tcPr>
            <w:tcW w:type="dxa" w:w="141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٢-٨-٤</w:t>
            </w:r>
          </w:p>
        </w:tc>
        <w:tc>
          <w:tcPr>
            <w:tcW w:type="dxa" w:w="141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التشفير</w:t>
            </w:r>
          </w:p>
        </w:tc>
        <w:tc>
          <w:tcPr>
            <w:tcW w:type="dxa" w:w="370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مطابقة الخوارزميات · تدوير المفاتيح · إعدادات النقل الآمن</w:t>
            </w:r>
          </w:p>
        </w:tc>
        <w:tc>
          <w:tcPr>
            <w:tcW w:type="dxa" w:w="141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سنوي</w:t>
            </w:r>
          </w:p>
        </w:tc>
        <w:tc>
          <w:tcPr>
            <w:tcW w:type="dxa" w:w="141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مدير العمليات السحابية</w:t>
            </w:r>
          </w:p>
        </w:tc>
      </w:tr>
      <w:tr>
        <w:trPr>
          <w:tblHeader w:val="false"/>
        </w:trPr>
        <w:tc>
          <w:tcPr>
            <w:tcW w:type="dxa" w:w="141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٢-٩-٤</w:t>
            </w:r>
          </w:p>
        </w:tc>
        <w:tc>
          <w:tcPr>
            <w:tcW w:type="dxa" w:w="141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النسخ الاحتياطية</w:t>
            </w:r>
          </w:p>
        </w:tc>
        <w:tc>
          <w:tcPr>
            <w:tcW w:type="dxa" w:w="370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اكتمال النطاق · نسب نجاح النسخ · نتائج اختبارات الاستعادة</w:t>
            </w:r>
          </w:p>
        </w:tc>
        <w:tc>
          <w:tcPr>
            <w:tcW w:type="dxa" w:w="141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ربع سنوي</w:t>
            </w:r>
          </w:p>
        </w:tc>
        <w:tc>
          <w:tcPr>
            <w:tcW w:type="dxa" w:w="141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مدير العمليات السحابية</w:t>
            </w:r>
          </w:p>
        </w:tc>
      </w:tr>
      <w:tr>
        <w:trPr>
          <w:tblHeader w:val="false"/>
        </w:trPr>
        <w:tc>
          <w:tcPr>
            <w:tcW w:type="dxa" w:w="141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٢-١٠-٤</w:t>
            </w:r>
          </w:p>
        </w:tc>
        <w:tc>
          <w:tcPr>
            <w:tcW w:type="dxa" w:w="141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إدارة الثغرات</w:t>
            </w:r>
          </w:p>
        </w:tc>
        <w:tc>
          <w:tcPr>
            <w:tcW w:type="dxa" w:w="370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تغطية الفحص · الالتزام بالمهل · الثغرات غير القابلة للمعالجة</w:t>
            </w:r>
          </w:p>
        </w:tc>
        <w:tc>
          <w:tcPr>
            <w:tcW w:type="dxa" w:w="141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ربع سنوي</w:t>
            </w:r>
          </w:p>
        </w:tc>
        <w:tc>
          <w:tcPr>
            <w:tcW w:type="dxa" w:w="141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وحدة الدفاع السيبراني</w:t>
            </w:r>
          </w:p>
        </w:tc>
      </w:tr>
      <w:tr>
        <w:trPr>
          <w:tblHeader w:val="false"/>
        </w:trPr>
        <w:tc>
          <w:tcPr>
            <w:tcW w:type="dxa" w:w="141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٢-١١-٤</w:t>
            </w:r>
          </w:p>
        </w:tc>
        <w:tc>
          <w:tcPr>
            <w:tcW w:type="dxa" w:w="141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اختبار الاختراق</w:t>
            </w:r>
          </w:p>
        </w:tc>
        <w:tc>
          <w:tcPr>
            <w:tcW w:type="dxa" w:w="370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تنفيذ الاختبارات وفق الخطة · إغلاق الملاحظات · قدرة الكشف</w:t>
            </w:r>
          </w:p>
        </w:tc>
        <w:tc>
          <w:tcPr>
            <w:tcW w:type="dxa" w:w="141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سنوي</w:t>
            </w:r>
          </w:p>
        </w:tc>
        <w:tc>
          <w:tcPr>
            <w:tcW w:type="dxa" w:w="141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وحدة الدفاع السيبراني</w:t>
            </w:r>
          </w:p>
        </w:tc>
      </w:tr>
      <w:tr>
        <w:trPr>
          <w:tblHeader w:val="false"/>
        </w:trPr>
        <w:tc>
          <w:tcPr>
            <w:tcW w:type="dxa" w:w="141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٢-١٢-٤</w:t>
            </w:r>
          </w:p>
        </w:tc>
        <w:tc>
          <w:tcPr>
            <w:tcW w:type="dxa" w:w="141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السجلات والمراقبة</w:t>
            </w:r>
          </w:p>
        </w:tc>
        <w:tc>
          <w:tcPr>
            <w:tcW w:type="dxa" w:w="370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اكتمال المصادر · مدة الاحتفاظ · فعالية قواعد الكشف</w:t>
            </w:r>
          </w:p>
        </w:tc>
        <w:tc>
          <w:tcPr>
            <w:tcW w:type="dxa" w:w="141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ربع سنوي</w:t>
            </w:r>
          </w:p>
        </w:tc>
        <w:tc>
          <w:tcPr>
            <w:tcW w:type="dxa" w:w="141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مركز العمليات الأمنية</w:t>
            </w:r>
          </w:p>
        </w:tc>
      </w:tr>
      <w:tr>
        <w:trPr>
          <w:tblHeader w:val="false"/>
        </w:trPr>
        <w:tc>
          <w:tcPr>
            <w:tcW w:type="dxa" w:w="141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٢-١٣-٤</w:t>
            </w:r>
          </w:p>
        </w:tc>
        <w:tc>
          <w:tcPr>
            <w:tcW w:type="dxa" w:w="141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إدارة الحوادث</w:t>
            </w:r>
          </w:p>
        </w:tc>
        <w:tc>
          <w:tcPr>
            <w:tcW w:type="dxa" w:w="370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تطبيق خطة الاستجابة · مهل الإبلاغ · الدروس المستفادة · التمارين</w:t>
            </w:r>
          </w:p>
        </w:tc>
        <w:tc>
          <w:tcPr>
            <w:tcW w:type="dxa" w:w="141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نصف سنوي</w:t>
            </w:r>
          </w:p>
        </w:tc>
        <w:tc>
          <w:tcPr>
            <w:tcW w:type="dxa" w:w="141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رئيس الأمن السيبراني</w:t>
            </w:r>
          </w:p>
        </w:tc>
      </w:tr>
      <w:tr>
        <w:trPr>
          <w:tblHeader w:val="false"/>
        </w:trPr>
        <w:tc>
          <w:tcPr>
            <w:tcW w:type="dxa" w:w="141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٢-١٤-٤</w:t>
            </w:r>
          </w:p>
        </w:tc>
        <w:tc>
          <w:tcPr>
            <w:tcW w:type="dxa" w:w="141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الأمن المادي</w:t>
            </w:r>
          </w:p>
        </w:tc>
        <w:tc>
          <w:tcPr>
            <w:tcW w:type="dxa" w:w="370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صلاحيات الدخول · سجلات الدخول · الإتلاف الآمن للوسائط</w:t>
            </w:r>
          </w:p>
        </w:tc>
        <w:tc>
          <w:tcPr>
            <w:tcW w:type="dxa" w:w="141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ربع سنوي</w:t>
            </w:r>
          </w:p>
        </w:tc>
        <w:tc>
          <w:tcPr>
            <w:tcW w:type="dxa" w:w="141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مدير العمليات السحابية</w:t>
            </w:r>
          </w:p>
        </w:tc>
      </w:tr>
      <w:tr>
        <w:trPr>
          <w:tblHeader w:val="false"/>
        </w:trPr>
        <w:tc>
          <w:tcPr>
            <w:tcW w:type="dxa" w:w="141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٢-١٥-٤</w:t>
            </w:r>
          </w:p>
        </w:tc>
        <w:tc>
          <w:tcPr>
            <w:tcW w:type="dxa" w:w="141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حماية تطبيقات الويب</w:t>
            </w:r>
          </w:p>
        </w:tc>
        <w:tc>
          <w:tcPr>
            <w:tcW w:type="dxa" w:w="370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تغطية جدار حماية التطبيقات · بوابات الإطلاق · نتائج الفحوص</w:t>
            </w:r>
          </w:p>
        </w:tc>
        <w:tc>
          <w:tcPr>
            <w:tcW w:type="dxa" w:w="141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نصف سنوي</w:t>
            </w:r>
          </w:p>
        </w:tc>
        <w:tc>
          <w:tcPr>
            <w:tcW w:type="dxa" w:w="141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مدير الهندسة والتطوير</w:t>
            </w:r>
          </w:p>
        </w:tc>
      </w:tr>
      <w:tr>
        <w:trPr>
          <w:tblHeader w:val="false"/>
        </w:trPr>
        <w:tc>
          <w:tcPr>
            <w:tcW w:type="dxa" w:w="141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٣-١-٤</w:t>
            </w:r>
          </w:p>
        </w:tc>
        <w:tc>
          <w:tcPr>
            <w:tcW w:type="dxa" w:w="141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الصمود واستمرارية الأعمال</w:t>
            </w:r>
          </w:p>
        </w:tc>
        <w:tc>
          <w:tcPr>
            <w:tcW w:type="dxa" w:w="370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أهداف التعافي · نتائج اختبارات التحويل · تحليل الأثر</w:t>
            </w:r>
          </w:p>
        </w:tc>
        <w:tc>
          <w:tcPr>
            <w:tcW w:type="dxa" w:w="141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نصف سنوي</w:t>
            </w:r>
          </w:p>
        </w:tc>
        <w:tc>
          <w:tcPr>
            <w:tcW w:type="dxa" w:w="141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رئيس الأمن السيبراني</w:t>
            </w:r>
          </w:p>
        </w:tc>
      </w:tr>
      <w:tr>
        <w:trPr>
          <w:tblHeader w:val="false"/>
        </w:trPr>
        <w:tc>
          <w:tcPr>
            <w:tcW w:type="dxa" w:w="141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٤-١-٤</w:t>
            </w:r>
          </w:p>
        </w:tc>
        <w:tc>
          <w:tcPr>
            <w:tcW w:type="dxa" w:w="141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الأطراف الخارجية</w:t>
            </w:r>
          </w:p>
        </w:tc>
        <w:tc>
          <w:tcPr>
            <w:tcW w:type="dxa" w:w="370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التزام الأطراف · الملاحق الأمنية · حسابات الأطراف الخارجية</w:t>
            </w:r>
          </w:p>
        </w:tc>
        <w:tc>
          <w:tcPr>
            <w:tcW w:type="dxa" w:w="141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ربع سنوي</w:t>
            </w:r>
          </w:p>
        </w:tc>
        <w:tc>
          <w:tcPr>
            <w:tcW w:type="dxa" w:w="141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وحدة الحوكمة</w:t>
            </w:r>
          </w:p>
        </w:tc>
      </w:tr>
      <w:tr>
        <w:trPr>
          <w:tblHeader w:val="false"/>
        </w:trPr>
        <w:tc>
          <w:tcPr>
            <w:tcW w:type="dxa" w:w="141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٤-٢-٤</w:t>
            </w:r>
          </w:p>
        </w:tc>
        <w:tc>
          <w:tcPr>
            <w:tcW w:type="dxa" w:w="141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الحوسبة السحابية</w:t>
            </w:r>
          </w:p>
        </w:tc>
        <w:tc>
          <w:tcPr>
            <w:tcW w:type="dxa" w:w="370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الالتزام بالإعدادات الآمنة · الانحرافات · اختبار استخراج البيانات</w:t>
            </w:r>
          </w:p>
        </w:tc>
        <w:tc>
          <w:tcPr>
            <w:tcW w:type="dxa" w:w="141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ربع سنوي</w:t>
            </w:r>
          </w:p>
        </w:tc>
        <w:tc>
          <w:tcPr>
            <w:tcW w:type="dxa" w:w="141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مدير العمليات السحابية</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التوزيع على أرباع السنة</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588"/>
        <w:gridCol w:w="6772"/>
      </w:tblGrid>
      <w:tr>
        <w:trPr>
          <w:tblHeader/>
        </w:trPr>
        <w:tc>
          <w:tcPr>
            <w:tcW w:type="dxa" w:w="2588"/>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الربع</w:t>
            </w:r>
          </w:p>
        </w:tc>
        <w:tc>
          <w:tcPr>
            <w:tcW w:type="dxa" w:w="6772"/>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المراجعات المستحقة</w:t>
            </w:r>
          </w:p>
        </w:tc>
      </w:tr>
      <w:tr>
        <w:trPr>
          <w:tblHeader w:val="false"/>
        </w:trPr>
        <w:tc>
          <w:tcPr>
            <w:tcW w:type="dxa" w:w="258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الأول</w:t>
            </w:r>
          </w:p>
        </w:tc>
        <w:tc>
          <w:tcPr>
            <w:tcW w:type="dxa" w:w="67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٢-١-٦</w:t>
            </w:r>
            <w:r>
              <w:rPr>
                <w:rFonts w:ascii="Arial" w:cs="Arial" w:eastAsia="Arial" w:hAnsi="Arial"/>
                <w:b w:val="false"/>
                <w:bCs w:val="false"/>
                <w:color w:val="16202A"/>
                <w:sz w:val="19"/>
                <w:szCs w:val="19"/>
                <w:rtl/>
              </w:rPr>
              <w:br/>
              <w:t xml:space="preserve">٢-٥-٤</w:t>
            </w:r>
            <w:r>
              <w:rPr>
                <w:rFonts w:ascii="Arial" w:cs="Arial" w:eastAsia="Arial" w:hAnsi="Arial"/>
                <w:b w:val="false"/>
                <w:bCs w:val="false"/>
                <w:color w:val="16202A"/>
                <w:sz w:val="19"/>
                <w:szCs w:val="19"/>
                <w:rtl/>
              </w:rPr>
              <w:br/>
              <w:t xml:space="preserve">٢-٦-٤</w:t>
            </w:r>
            <w:r>
              <w:rPr>
                <w:rFonts w:ascii="Arial" w:cs="Arial" w:eastAsia="Arial" w:hAnsi="Arial"/>
                <w:b w:val="false"/>
                <w:bCs w:val="false"/>
                <w:color w:val="16202A"/>
                <w:sz w:val="19"/>
                <w:szCs w:val="19"/>
                <w:rtl/>
              </w:rPr>
              <w:br/>
              <w:t xml:space="preserve">٢-٩-٤</w:t>
            </w:r>
            <w:r>
              <w:rPr>
                <w:rFonts w:ascii="Arial" w:cs="Arial" w:eastAsia="Arial" w:hAnsi="Arial"/>
                <w:b w:val="false"/>
                <w:bCs w:val="false"/>
                <w:color w:val="16202A"/>
                <w:sz w:val="19"/>
                <w:szCs w:val="19"/>
                <w:rtl/>
              </w:rPr>
              <w:br/>
              <w:t xml:space="preserve">٢-١٠-٤</w:t>
            </w:r>
            <w:r>
              <w:rPr>
                <w:rFonts w:ascii="Arial" w:cs="Arial" w:eastAsia="Arial" w:hAnsi="Arial"/>
                <w:b w:val="false"/>
                <w:bCs w:val="false"/>
                <w:color w:val="16202A"/>
                <w:sz w:val="19"/>
                <w:szCs w:val="19"/>
                <w:rtl/>
              </w:rPr>
              <w:br/>
              <w:t xml:space="preserve">٢-١٢-٤</w:t>
            </w:r>
            <w:r>
              <w:rPr>
                <w:rFonts w:ascii="Arial" w:cs="Arial" w:eastAsia="Arial" w:hAnsi="Arial"/>
                <w:b w:val="false"/>
                <w:bCs w:val="false"/>
                <w:color w:val="16202A"/>
                <w:sz w:val="19"/>
                <w:szCs w:val="19"/>
                <w:rtl/>
              </w:rPr>
              <w:br/>
              <w:t xml:space="preserve">٢-١٤-٤</w:t>
            </w:r>
            <w:r>
              <w:rPr>
                <w:rFonts w:ascii="Arial" w:cs="Arial" w:eastAsia="Arial" w:hAnsi="Arial"/>
                <w:b w:val="false"/>
                <w:bCs w:val="false"/>
                <w:color w:val="16202A"/>
                <w:sz w:val="19"/>
                <w:szCs w:val="19"/>
                <w:rtl/>
              </w:rPr>
              <w:br/>
              <w:t xml:space="preserve">٤-١-٤</w:t>
            </w:r>
            <w:r>
              <w:rPr>
                <w:rFonts w:ascii="Arial" w:cs="Arial" w:eastAsia="Arial" w:hAnsi="Arial"/>
                <w:b w:val="false"/>
                <w:bCs w:val="false"/>
                <w:color w:val="16202A"/>
                <w:sz w:val="19"/>
                <w:szCs w:val="19"/>
                <w:rtl/>
              </w:rPr>
              <w:br/>
              <w:t xml:space="preserve">٤-٢-٤</w:t>
            </w:r>
          </w:p>
        </w:tc>
      </w:tr>
      <w:tr>
        <w:trPr>
          <w:tblHeader w:val="false"/>
        </w:trPr>
        <w:tc>
          <w:tcPr>
            <w:tcW w:type="dxa" w:w="258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الثاني</w:t>
            </w:r>
          </w:p>
        </w:tc>
        <w:tc>
          <w:tcPr>
            <w:tcW w:type="dxa" w:w="677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مراجعات الربع الأول + ٢-٢-٤ · ٢-٣-٤ · ٢-٤-٤ · ٢-٧-٣ · ٢-١٣-٤ · ٢-١٥-٤ · ٣-١-٤</w:t>
            </w:r>
          </w:p>
        </w:tc>
      </w:tr>
      <w:tr>
        <w:trPr>
          <w:tblHeader w:val="false"/>
        </w:trPr>
        <w:tc>
          <w:tcPr>
            <w:tcW w:type="dxa" w:w="258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الثالث</w:t>
            </w:r>
          </w:p>
        </w:tc>
        <w:tc>
          <w:tcPr>
            <w:tcW w:type="dxa" w:w="67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مراجعات الربع الأول</w:t>
            </w:r>
          </w:p>
        </w:tc>
      </w:tr>
      <w:tr>
        <w:trPr>
          <w:tblHeader w:val="false"/>
        </w:trPr>
        <w:tc>
          <w:tcPr>
            <w:tcW w:type="dxa" w:w="258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الرابع</w:t>
            </w:r>
          </w:p>
        </w:tc>
        <w:tc>
          <w:tcPr>
            <w:tcW w:type="dxa" w:w="677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مراجعات الربع الأول والثاني + ٢-٨-٤ · ٢-١١-٤ · المراجعة السنوية الشاملة</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متطلبات توثيق المراجعة</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3687"/>
        <w:gridCol w:w="5673"/>
      </w:tblGrid>
      <w:tr>
        <w:trPr>
          <w:tblHeader/>
        </w:trPr>
        <w:tc>
          <w:tcPr>
            <w:tcW w:type="dxa" w:w="3687"/>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w:t>
            </w:r>
          </w:p>
        </w:tc>
        <w:tc>
          <w:tcPr>
            <w:tcW w:type="dxa" w:w="5673"/>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العنصر</w:t>
            </w:r>
          </w:p>
        </w:tc>
      </w:tr>
      <w:tr>
        <w:trPr>
          <w:tblHeader w:val="false"/>
        </w:trPr>
        <w:tc>
          <w:tcPr>
            <w:tcW w:type="dxa" w:w="368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w:t>
            </w:r>
          </w:p>
        </w:tc>
        <w:tc>
          <w:tcPr>
            <w:tcW w:type="dxa" w:w="567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نطاق المراجعة والفترة المشمولة</w:t>
            </w:r>
          </w:p>
        </w:tc>
      </w:tr>
      <w:tr>
        <w:trPr>
          <w:tblHeader w:val="false"/>
        </w:trPr>
        <w:tc>
          <w:tcPr>
            <w:tcW w:type="dxa" w:w="368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w:t>
            </w:r>
          </w:p>
        </w:tc>
        <w:tc>
          <w:tcPr>
            <w:tcW w:type="dxa" w:w="567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الأدلة المفحوصة وحجم العينة</w:t>
            </w:r>
          </w:p>
        </w:tc>
      </w:tr>
      <w:tr>
        <w:trPr>
          <w:tblHeader w:val="false"/>
        </w:trPr>
        <w:tc>
          <w:tcPr>
            <w:tcW w:type="dxa" w:w="368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٣</w:t>
            </w:r>
          </w:p>
        </w:tc>
        <w:tc>
          <w:tcPr>
            <w:tcW w:type="dxa" w:w="567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الملاحظات مصنّفة بحسب الخطورة</w:t>
            </w:r>
          </w:p>
        </w:tc>
      </w:tr>
      <w:tr>
        <w:trPr>
          <w:tblHeader w:val="false"/>
        </w:trPr>
        <w:tc>
          <w:tcPr>
            <w:tcW w:type="dxa" w:w="368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٤</w:t>
            </w:r>
          </w:p>
        </w:tc>
        <w:tc>
          <w:tcPr>
            <w:tcW w:type="dxa" w:w="567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الإجراءات التصحيحية بمالكين ومواعيد</w:t>
            </w:r>
          </w:p>
        </w:tc>
      </w:tr>
      <w:tr>
        <w:trPr>
          <w:tblHeader w:val="false"/>
        </w:trPr>
        <w:tc>
          <w:tcPr>
            <w:tcW w:type="dxa" w:w="368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٥</w:t>
            </w:r>
          </w:p>
        </w:tc>
        <w:tc>
          <w:tcPr>
            <w:tcW w:type="dxa" w:w="567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حالة ملاحظات الدورة السابقة</w:t>
            </w:r>
          </w:p>
        </w:tc>
      </w:tr>
      <w:tr>
        <w:trPr>
          <w:tblHeader w:val="false"/>
        </w:trPr>
        <w:tc>
          <w:tcPr>
            <w:tcW w:type="dxa" w:w="368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٦</w:t>
            </w:r>
          </w:p>
        </w:tc>
        <w:tc>
          <w:tcPr>
            <w:tcW w:type="dxa" w:w="567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الاعتماد من المالك ورئيس الأمن السيبراني</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الربط بالحوكمة</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897"/>
        <w:gridCol w:w="3565"/>
        <w:gridCol w:w="2898"/>
      </w:tblGrid>
      <w:tr>
        <w:trPr>
          <w:tblHeader/>
        </w:trPr>
        <w:tc>
          <w:tcPr>
            <w:tcW w:type="dxa" w:w="2897"/>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المستوى</w:t>
            </w:r>
          </w:p>
        </w:tc>
        <w:tc>
          <w:tcPr>
            <w:tcW w:type="dxa" w:w="3565"/>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ما يُرفع</w:t>
            </w:r>
          </w:p>
        </w:tc>
        <w:tc>
          <w:tcPr>
            <w:tcW w:type="dxa" w:w="2898"/>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الدورية</w:t>
            </w:r>
          </w:p>
        </w:tc>
      </w:tr>
      <w:tr>
        <w:trPr>
          <w:tblHeader w:val="false"/>
        </w:trPr>
        <w:tc>
          <w:tcPr>
            <w:tcW w:type="dxa" w:w="289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رئيس الأمن السيبراني</w:t>
            </w:r>
          </w:p>
        </w:tc>
        <w:tc>
          <w:tcPr>
            <w:tcW w:type="dxa" w:w="356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نتائج جميع المراجعات المستحقة</w:t>
            </w:r>
          </w:p>
        </w:tc>
        <w:tc>
          <w:tcPr>
            <w:tcW w:type="dxa" w:w="289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ربع سنوي</w:t>
            </w:r>
          </w:p>
        </w:tc>
      </w:tr>
      <w:tr>
        <w:trPr>
          <w:tblHeader w:val="false"/>
        </w:trPr>
        <w:tc>
          <w:tcPr>
            <w:tcW w:type="dxa" w:w="289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اللجنة الإشرافية</w:t>
            </w:r>
          </w:p>
        </w:tc>
        <w:tc>
          <w:tcPr>
            <w:tcW w:type="dxa" w:w="356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ملخص النتائج والملاحظات الجوهرية</w:t>
            </w:r>
          </w:p>
        </w:tc>
        <w:tc>
          <w:tcPr>
            <w:tcW w:type="dxa" w:w="289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ربع سنوي</w:t>
            </w:r>
          </w:p>
        </w:tc>
      </w:tr>
      <w:tr>
        <w:trPr>
          <w:tblHeader w:val="false"/>
        </w:trPr>
        <w:tc>
          <w:tcPr>
            <w:tcW w:type="dxa" w:w="289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صاحب الصلاحية</w:t>
            </w:r>
          </w:p>
        </w:tc>
        <w:tc>
          <w:tcPr>
            <w:tcW w:type="dxa" w:w="356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المراجعة السنوية الشاملة</w:t>
            </w:r>
          </w:p>
        </w:tc>
        <w:tc>
          <w:tcPr>
            <w:tcW w:type="dxa" w:w="289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سنوي</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المراجعة والتحديث</w:t>
      </w:r>
    </w:p>
    <w:p>
      <w:pPr>
        <w:bidi/>
        <w:spacing w:after="140" w:before="0" w:line="300"/>
        <w:jc w:val="start"/>
      </w:pPr>
      <w:r>
        <w:rPr>
          <w:rFonts w:ascii="Arial" w:cs="Arial" w:eastAsia="Arial" w:hAnsi="Arial"/>
          <w:b w:val="false"/>
          <w:bCs w:val="false"/>
          <w:color w:val="16202A"/>
          <w:sz w:val="21"/>
          <w:szCs w:val="21"/>
          <w:rtl/>
        </w:rPr>
        <w:t xml:space="preserve">يُراجَع هذا الجدول سنوياً، وعند إضافة مكوّن فرعي جديد أو تغيّر جوهري في البيئة. وتُوثَّق التغييرات وتُعتمد من صاحب الصلاحية.</w:t>
      </w:r>
    </w:p>
    <w:p>
      <w:pPr>
        <w:pStyle w:val="Heading2"/>
        <w:bidi/>
        <w:spacing w:after="120" w:before="280" w:line="300"/>
        <w:jc w:val="start"/>
      </w:pPr>
      <w:r>
        <w:rPr>
          <w:rFonts w:ascii="Arial" w:cs="Arial" w:eastAsia="Arial" w:hAnsi="Arial"/>
          <w:b/>
          <w:bCs/>
          <w:color w:val="15325C"/>
          <w:sz w:val="27"/>
          <w:szCs w:val="27"/>
          <w:rtl/>
        </w:rPr>
        <w:t xml:space="preserve">سجل التغييرات</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340"/>
        <w:gridCol w:w="2340"/>
        <w:gridCol w:w="2340"/>
        <w:gridCol w:w="2340"/>
      </w:tblGrid>
      <w:tr>
        <w:trPr>
          <w:tblHeader/>
        </w:trPr>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الإصدار</w:t>
            </w:r>
          </w:p>
        </w:tc>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التاريخ</w:t>
            </w:r>
          </w:p>
        </w:tc>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التغيير</w:t>
            </w:r>
          </w:p>
        </w:tc>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المعتمِد</w:t>
            </w:r>
          </w:p>
        </w:tc>
      </w:tr>
      <w:tr>
        <w:trPr>
          <w:tblHeader w:val="false"/>
        </w:trPr>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١.٠</w:t>
            </w:r>
          </w:p>
        </w:tc>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 ربيع الأول ١٤٤٨هـ</w:t>
            </w:r>
          </w:p>
        </w:tc>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الإصدار الأول</w:t>
            </w:r>
          </w:p>
        </w:tc>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الرئيس التنفيذي</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الاعتماد</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1931"/>
        <w:gridCol w:w="3565"/>
        <w:gridCol w:w="1931"/>
        <w:gridCol w:w="1933"/>
      </w:tblGrid>
      <w:tr>
        <w:trPr>
          <w:tblHeader/>
        </w:trPr>
        <w:tc>
          <w:tcPr>
            <w:tcW w:type="dxa" w:w="1931"/>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الدور</w:t>
            </w:r>
          </w:p>
        </w:tc>
        <w:tc>
          <w:tcPr>
            <w:tcW w:type="dxa" w:w="3565"/>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الاسم</w:t>
            </w:r>
          </w:p>
        </w:tc>
        <w:tc>
          <w:tcPr>
            <w:tcW w:type="dxa" w:w="1931"/>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التوقيع</w:t>
            </w:r>
          </w:p>
        </w:tc>
        <w:tc>
          <w:tcPr>
            <w:tcW w:type="dxa" w:w="1933"/>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التاريخ</w:t>
            </w:r>
          </w:p>
        </w:tc>
      </w:tr>
      <w:tr>
        <w:trPr>
          <w:tblHeader w:val="false"/>
        </w:trPr>
        <w:tc>
          <w:tcPr>
            <w:tcW w:type="dxa" w:w="193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أُعدّ بواسطة</w:t>
            </w:r>
          </w:p>
        </w:tc>
        <w:tc>
          <w:tcPr>
            <w:tcW w:type="dxa" w:w="356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وحدة الحوكمة والمخاطر والالتزام</w:t>
            </w:r>
          </w:p>
        </w:tc>
        <w:tc>
          <w:tcPr>
            <w:tcW w:type="dxa" w:w="193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193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r>
        <w:trPr>
          <w:tblHeader w:val="false"/>
        </w:trPr>
        <w:tc>
          <w:tcPr>
            <w:tcW w:type="dxa" w:w="1931"/>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رُوجع بواسطة</w:t>
            </w:r>
          </w:p>
        </w:tc>
        <w:tc>
          <w:tcPr>
            <w:tcW w:type="dxa" w:w="356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 ريم الشهري — رئيس الأمن السيبراني</w:t>
            </w:r>
          </w:p>
        </w:tc>
        <w:tc>
          <w:tcPr>
            <w:tcW w:type="dxa" w:w="1931"/>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193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r>
        <w:trPr>
          <w:tblHeader w:val="false"/>
        </w:trPr>
        <w:tc>
          <w:tcPr>
            <w:tcW w:type="dxa" w:w="193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اعتُمد بواسطة</w:t>
            </w:r>
          </w:p>
        </w:tc>
        <w:tc>
          <w:tcPr>
            <w:tcW w:type="dxa" w:w="356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 بدر العتيبي — الرئيس التنفيذي · صاحب الصلاحية</w:t>
            </w:r>
          </w:p>
        </w:tc>
        <w:tc>
          <w:tcPr>
            <w:tcW w:type="dxa" w:w="193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193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تنويه</w:t>
      </w:r>
    </w:p>
    <w:p>
      <w:pPr>
        <w:bidi/>
        <w:spacing w:after="140" w:before="0" w:line="300"/>
        <w:jc w:val="start"/>
      </w:pPr>
      <w:r>
        <w:rPr>
          <w:rFonts w:ascii="Arial" w:cs="Arial" w:eastAsia="Arial" w:hAnsi="Arial"/>
          <w:b w:val="false"/>
          <w:bCs w:val="false"/>
          <w:color w:val="16202A"/>
          <w:sz w:val="21"/>
          <w:szCs w:val="21"/>
          <w:rtl/>
        </w:rPr>
        <w:t xml:space="preserve">شركة نَسَق وجميع البيانات والأسماء والأرقام الواردة في هذه الوثيقة افتراضية، وأُعدّت لأغراض التدريب على تطبيق الضوابط الأساسية للأمن السيبراني.</w:t>
      </w:r>
    </w:p>
    <w:sectPr>
      <w:headerReference w:type="default" r:id="rId9"/>
      <w:footerReference w:type="default" r:id="rId10"/>
      <w:pgSz w:w="11906" w:h="16838" w:orient="portrait"/>
      <w:pgMar w:top="10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start"/>
    </w:pPr>
    <w:r>
      <w:rPr>
        <w:rFonts w:ascii="Arial" w:cs="Arial" w:eastAsia="Arial" w:hAnsi="Arial"/>
        <w:b/>
        <w:bCs/>
        <w:color w:val="9E2A2B"/>
        <w:sz w:val="16"/>
        <w:szCs w:val="16"/>
        <w:rtl/>
      </w:rPr>
      <w:t xml:space="preserve">سري</w:t>
    </w:r>
    <w:r>
      <w:rPr>
        <w:rFonts w:ascii="Arial" w:cs="Arial" w:eastAsia="Arial" w:hAnsi="Arial"/>
        <w:b w:val="false"/>
        <w:bCs w:val="false"/>
        <w:color w:val="5A6672"/>
        <w:sz w:val="16"/>
        <w:szCs w:val="16"/>
        <w:rtl/>
      </w:rPr>
      <w:t xml:space="preserve">        صفحة </w:t>
    </w:r>
    <w:r>
      <w:rPr>
        <w:rFonts w:ascii="Arial" w:cs="Arial" w:eastAsia="Arial" w:hAnsi="Arial"/>
        <w:color w:val="5A6672"/>
        <w:sz w:val="16"/>
        <w:szCs w:val="16"/>
      </w:rPr>
      <w:fldChar w:fldCharType="begin"/>
      <w:instrText xml:space="preserve">PAGE</w:instrText>
      <w:fldChar w:fldCharType="separate"/>
      <w:fldChar w:fldCharType="end"/>
    </w:r>
    <w:r>
      <w:rPr>
        <w:rFonts w:ascii="Arial" w:cs="Arial" w:eastAsia="Arial" w:hAnsi="Arial"/>
        <w:b w:val="false"/>
        <w:bCs w:val="false"/>
        <w:color w:val="5A6672"/>
        <w:sz w:val="16"/>
        <w:szCs w:val="16"/>
        <w:rtl/>
      </w:rPr>
      <w:t xml:space="preserve"> من </w:t>
    </w:r>
    <w:r>
      <w:rPr>
        <w:rFonts w:ascii="Arial" w:cs="Arial" w:eastAsia="Arial" w:hAnsi="Arial"/>
        <w:color w:val="5A6672"/>
        <w:sz w:val="16"/>
        <w:szCs w:val="16"/>
      </w:rPr>
      <w:fldChar w:fldCharType="begin"/>
      <w:instrText xml:space="preserve">NUMPAGES</w:instrText>
      <w:fldChar w:fldCharType="separate"/>
      <w:fldChar w:fldCharType="end"/>
    </w:r>
    <w:r>
      <w:rPr>
        <w:rFonts w:ascii="Arial" w:cs="Arial" w:eastAsia="Arial" w:hAnsi="Arial"/>
        <w:color w:val="5A6672"/>
        <w:sz w:val="16"/>
        <w:szCs w:val="16"/>
      </w:rPr>
      <w:t xml:space="preserve">	CS-PLN-006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start"/>
    </w:pPr>
    <w:r>
      <w:rPr>
        <w:rFonts w:ascii="Arial" w:cs="Arial" w:eastAsia="Arial" w:hAnsi="Arial"/>
        <w:b/>
        <w:bCs/>
        <w:color w:val="9E2A2B"/>
        <w:sz w:val="16"/>
        <w:szCs w:val="16"/>
        <w:rtl/>
      </w:rPr>
      <w:t xml:space="preserve">سري</w:t>
    </w:r>
    <w:r>
      <w:rPr>
        <w:rFonts w:ascii="Arial" w:cs="Arial" w:eastAsia="Arial" w:hAnsi="Arial"/>
        <w:b w:val="false"/>
        <w:bCs w:val="false"/>
        <w:color w:val="5A6672"/>
        <w:sz w:val="16"/>
        <w:szCs w:val="16"/>
        <w:rtl/>
      </w:rPr>
      <w:t xml:space="preserve">        صفحة </w:t>
    </w:r>
    <w:r>
      <w:rPr>
        <w:rFonts w:ascii="Arial" w:cs="Arial" w:eastAsia="Arial" w:hAnsi="Arial"/>
        <w:color w:val="5A6672"/>
        <w:sz w:val="16"/>
        <w:szCs w:val="16"/>
      </w:rPr>
      <w:fldChar w:fldCharType="begin"/>
      <w:instrText xml:space="preserve">PAGE</w:instrText>
      <w:fldChar w:fldCharType="separate"/>
      <w:fldChar w:fldCharType="end"/>
    </w:r>
    <w:r>
      <w:rPr>
        <w:rFonts w:ascii="Arial" w:cs="Arial" w:eastAsia="Arial" w:hAnsi="Arial"/>
        <w:b w:val="false"/>
        <w:bCs w:val="false"/>
        <w:color w:val="5A6672"/>
        <w:sz w:val="16"/>
        <w:szCs w:val="16"/>
        <w:rtl/>
      </w:rPr>
      <w:t xml:space="preserve"> من </w:t>
    </w:r>
    <w:r>
      <w:rPr>
        <w:rFonts w:ascii="Arial" w:cs="Arial" w:eastAsia="Arial" w:hAnsi="Arial"/>
        <w:color w:val="5A6672"/>
        <w:sz w:val="16"/>
        <w:szCs w:val="16"/>
      </w:rPr>
      <w:fldChar w:fldCharType="begin"/>
      <w:instrText xml:space="preserve">NUMPAGES</w:instrText>
      <w:fldChar w:fldCharType="separate"/>
      <w:fldChar w:fldCharType="end"/>
    </w:r>
    <w:r>
      <w:rPr>
        <w:rFonts w:ascii="Arial" w:cs="Arial" w:eastAsia="Arial" w:hAnsi="Arial"/>
        <w:color w:val="5A6672"/>
        <w:sz w:val="16"/>
        <w:szCs w:val="16"/>
      </w:rPr>
      <w:t xml:space="preserve">	CS-PLN-006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E0E3" w:sz="2" w:space="6"/>
      </w:pBdr>
      <w:bidi/>
      <w:jc w:val="start"/>
    </w:pPr>
    <w:r>
      <w:rPr>
        <w:rFonts w:ascii="Arial" w:cs="Arial" w:eastAsia="Arial" w:hAnsi="Arial"/>
        <w:b/>
        <w:bCs/>
        <w:color w:val="15325C"/>
        <w:sz w:val="16"/>
        <w:szCs w:val="16"/>
        <w:rtl/>
      </w:rPr>
      <w:t xml:space="preserve">شركة نَسَق للحلول الرقمية — إدارة الأمن السيبراني</w:t>
    </w:r>
    <w:r>
      <w:rPr>
        <w:rFonts w:ascii="Arial" w:cs="Arial" w:eastAsia="Arial" w:hAnsi="Arial"/>
        <w:color w:val="5A6672"/>
        <w:sz w:val="16"/>
        <w:szCs w:val="16"/>
      </w:rPr>
      <w:t xml:space="preserve">	CS-PLN-006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2026-10-04T11:48:02.679Z</dcterms:created>
  <dcterms:modified xsi:type="dcterms:W3CDTF">2026-10-04T11:48:02.679Z</dcterms:modified>
</cp:coreProperties>
</file>

<file path=docProps/custom.xml><?xml version="1.0" encoding="utf-8"?>
<Properties xmlns="http://schemas.openxmlformats.org/officeDocument/2006/custom-properties" xmlns:vt="http://schemas.openxmlformats.org/officeDocument/2006/docPropsVTypes"/>
</file>