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نموذج معتمد</w:t>
            </w:r>
          </w:p>
          <w:p>
            <w:pPr>
              <w:bidi/>
              <w:spacing w:after="120" w:before="0" w:line="420"/>
              <w:jc w:val="start"/>
            </w:pPr>
            <w:r>
              <w:rPr>
                <w:rFonts w:ascii="Arial" w:cs="Arial" w:eastAsia="Arial" w:hAnsi="Arial"/>
                <w:b/>
                <w:bCs/>
                <w:color w:val="FFFFFF"/>
                <w:sz w:val="52"/>
                <w:szCs w:val="52"/>
                <w:rtl/>
              </w:rPr>
              <w:t xml:space="preserve">نموذج قياس نضج الأمن السيبراني</w:t>
            </w:r>
          </w:p>
          <w:p>
            <w:pPr>
              <w:bidi/>
              <w:spacing w:after="260" w:before="0" w:line="300"/>
              <w:jc w:val="start"/>
            </w:pPr>
            <w:r>
              <w:rPr>
                <w:rFonts w:ascii="Arial" w:cs="Arial" w:eastAsia="Arial" w:hAnsi="Arial"/>
                <w:b w:val="false"/>
                <w:bCs w:val="false"/>
                <w:color w:val="AFC4D4"/>
                <w:sz w:val="22"/>
                <w:szCs w:val="22"/>
                <w:rtl/>
              </w:rPr>
              <w:t xml:space="preserve">خمسة مستويات · معايير البلوغ · قاعدة السقف · الترجيح</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CS-STD-016</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١٤٥٠هـ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سنوي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مقياس داعم — غير مرتبط بضابط محدد</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نموذج قياس نضج الأمن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النموذج كيفية قياس مستوى نضج الأمن السيبراني في شركة نَسَق للحلول الرقمية، وتعريف مستوياته ومعاييرها وطريقة حسابها، بحيث يكون الرقم المعلن مشتقاً من معايير موثقة لا من تقدير، وأُنتجت ضمن مراجعة إغلاق المشروع.</w:t>
      </w:r>
    </w:p>
    <w:p>
      <w:pPr>
        <w:pStyle w:val="Heading2"/>
        <w:bidi/>
        <w:spacing w:after="120" w:before="280" w:line="300"/>
        <w:jc w:val="start"/>
      </w:pPr>
      <w:r>
        <w:rPr>
          <w:rFonts w:ascii="Arial" w:cs="Arial" w:eastAsia="Arial" w:hAnsi="Arial"/>
          <w:b/>
          <w:bCs/>
          <w:color w:val="15325C"/>
          <w:sz w:val="27"/>
          <w:szCs w:val="27"/>
          <w:rtl/>
        </w:rPr>
        <w:t xml:space="preserve">لماذا النضج مقياس منفصل عن الالتزام</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04"/>
        <w:gridCol w:w="3952"/>
        <w:gridCol w:w="2704"/>
      </w:tblGrid>
      <w:tr>
        <w:trPr>
          <w:tblHeader/>
        </w:trPr>
        <w:tc>
          <w:tcPr>
            <w:tcW w:type="dxa" w:w="27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المقياس</w:t>
            </w:r>
          </w:p>
        </w:tc>
        <w:tc>
          <w:tcPr>
            <w:tcW w:type="dxa" w:w="395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ما يجيب عنه</w:t>
            </w:r>
          </w:p>
        </w:tc>
        <w:tc>
          <w:tcPr>
            <w:tcW w:type="dxa" w:w="27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سقفه</w:t>
            </w:r>
          </w:p>
        </w:tc>
      </w:tr>
      <w:tr>
        <w:trPr>
          <w:tblHeader w:val="false"/>
        </w:trPr>
        <w:tc>
          <w:tcPr>
            <w:tcW w:type="dxa" w:w="27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الالتزام</w:t>
            </w:r>
          </w:p>
        </w:tc>
        <w:tc>
          <w:tcPr>
            <w:tcW w:type="dxa" w:w="39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الضابط مطبَّق وموثّق ومعتمد وبدليل؟</w:t>
            </w:r>
          </w:p>
        </w:tc>
        <w:tc>
          <w:tcPr>
            <w:tcW w:type="dxa" w:w="27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27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النضج</w:t>
            </w:r>
          </w:p>
        </w:tc>
        <w:tc>
          <w:tcPr>
            <w:tcW w:type="dxa" w:w="39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القدرة مُدارة ومقيسة وتتحسّن؟</w:t>
            </w:r>
          </w:p>
        </w:tc>
        <w:tc>
          <w:tcPr>
            <w:tcW w:type="dxa" w:w="27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 من ٥</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جهة ملتزمة ١٠٠٪ قد تكون عند المستوى الثالث فقط.</w:t>
      </w:r>
      <w:r>
        <w:rPr>
          <w:rFonts w:ascii="Arial" w:cs="Arial" w:eastAsia="Arial" w:hAnsi="Arial"/>
          <w:b w:val="false"/>
          <w:bCs w:val="false"/>
          <w:color w:val="16202A"/>
          <w:sz w:val="21"/>
          <w:szCs w:val="21"/>
          <w:rtl/>
        </w:rPr>
        <w:t xml:space="preserve"> الالتزام يثبت أن الضابط موجود ومطبَّق، والنضج يسأل: هل يُقاس أثره؟ وهل يُحسَّن بناءً على القياس؟ وهل يصمد إذا غادر الشخص الذي يديره؟</w:t>
      </w:r>
    </w:p>
    <w:p>
      <w:pPr>
        <w:bidi/>
        <w:spacing w:after="140" w:before="0" w:line="300"/>
        <w:jc w:val="start"/>
      </w:pPr>
      <w:r>
        <w:rPr>
          <w:rFonts w:ascii="Arial" w:cs="Arial" w:eastAsia="Arial" w:hAnsi="Arial"/>
          <w:b w:val="false"/>
          <w:bCs w:val="false"/>
          <w:color w:val="16202A"/>
          <w:sz w:val="21"/>
          <w:szCs w:val="21"/>
          <w:rtl/>
        </w:rPr>
        <w:t xml:space="preserve">ولهذا لا يُشتق النضج من نسبة الالتزام حسابياً، بل يُقيَّم بمعايير مستقلة.</w:t>
      </w:r>
    </w:p>
    <w:p>
      <w:pPr>
        <w:pStyle w:val="Heading2"/>
        <w:bidi/>
        <w:spacing w:after="120" w:before="280" w:line="300"/>
        <w:jc w:val="start"/>
      </w:pPr>
      <w:r>
        <w:rPr>
          <w:rFonts w:ascii="Arial" w:cs="Arial" w:eastAsia="Arial" w:hAnsi="Arial"/>
          <w:b/>
          <w:bCs/>
          <w:color w:val="15325C"/>
          <w:sz w:val="27"/>
          <w:szCs w:val="27"/>
          <w:rtl/>
        </w:rPr>
        <w:t xml:space="preserve">المستويات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2028"/>
        <w:gridCol w:w="5304"/>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التعريف</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مبدئي</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توجد ممارسة، أو توجد بشكل عشوائي غير متكرر ويعتمد على الظرف</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متكرر</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توجد ممارسة متكررة لكنها غير موثقة ولا معتمدة، وتعتمد على أشخاص بعينهم</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محدد</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الممارسة موثقة ومعتمدة ومطبَّقة بدليل قابل للتحقق</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مُدار</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إضافةً للمستوى الثالث: مؤشرات قياس معتمدة · مراجعة دورية مُنفَّذة لا مجدولة فقط</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محسَّن</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إضافةً للمستوى الرابع: تحسين مُوثَّق نتج عن القياس أو عن درس مستفاد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معايير بلوغ كل مستوى</w:t>
      </w:r>
    </w:p>
    <w:p>
      <w:pPr>
        <w:bidi/>
        <w:spacing w:after="140" w:before="0" w:line="300"/>
        <w:jc w:val="start"/>
      </w:pPr>
      <w:r>
        <w:rPr>
          <w:rFonts w:ascii="Arial" w:cs="Arial" w:eastAsia="Arial" w:hAnsi="Arial"/>
          <w:b w:val="false"/>
          <w:bCs w:val="false"/>
          <w:color w:val="16202A"/>
          <w:sz w:val="21"/>
          <w:szCs w:val="21"/>
          <w:rtl/>
        </w:rPr>
        <w:t xml:space="preserve">يُشترط استيفاء </w:t>
      </w:r>
      <w:r>
        <w:rPr>
          <w:rFonts w:ascii="Arial" w:cs="Arial" w:eastAsia="Arial" w:hAnsi="Arial"/>
          <w:b/>
          <w:bCs/>
          <w:color w:val="15325C"/>
          <w:sz w:val="21"/>
          <w:szCs w:val="21"/>
          <w:rtl/>
        </w:rPr>
        <w:t xml:space="preserve">جميع</w:t>
      </w:r>
      <w:r>
        <w:rPr>
          <w:rFonts w:ascii="Arial" w:cs="Arial" w:eastAsia="Arial" w:hAnsi="Arial"/>
          <w:b w:val="false"/>
          <w:bCs w:val="false"/>
          <w:color w:val="16202A"/>
          <w:sz w:val="21"/>
          <w:szCs w:val="21"/>
          <w:rtl/>
        </w:rPr>
        <w:t xml:space="preserve"> معايير المستوى لبلوغه، ولا يُمنح المستوى بالاستيفاء الجزئي.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المعايير</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وجود ممارسة فعلية متكررة · شهادة من الممارسين على اتباعها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وثيقة معتمدة من صاحب الصلاحية · تطبيق مثبت بدليل · مالك محدد بالاسم</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مؤشرات قياس معتمدة وقيم مقاسة فعلياً · دورة مراجعة واحدة مُنفَّذة وموثقة · لا يعتمد التشغيل على فرد واحد</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تغيير مُوثَّق في الممارسة نتج عن قياس أو درس مستفاد · أثر التغيير مقيس قبل وبعد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سقف المستوى عند وجود نقص</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497"/>
        <w:gridCol w:w="3863"/>
      </w:tblGrid>
      <w:tr>
        <w:trPr>
          <w:tblHeader/>
        </w:trPr>
        <w:tc>
          <w:tcPr>
            <w:tcW w:type="dxa" w:w="54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c>
          <w:tcPr>
            <w:tcW w:type="dxa" w:w="38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السقف</w:t>
            </w:r>
          </w:p>
        </w:tc>
      </w:tr>
      <w:tr>
        <w:trPr>
          <w:tblHeader w:val="false"/>
        </w:trPr>
        <w:tc>
          <w:tcPr>
            <w:tcW w:type="dxa" w:w="54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الفرعي فيه ضابط غير مطبَّق</w:t>
            </w:r>
          </w:p>
        </w:tc>
        <w:tc>
          <w:tcPr>
            <w:tcW w:type="dxa" w:w="3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المستوى ٢</w:t>
            </w:r>
          </w:p>
        </w:tc>
      </w:tr>
      <w:tr>
        <w:trPr>
          <w:tblHeader w:val="false"/>
        </w:trPr>
        <w:tc>
          <w:tcPr>
            <w:tcW w:type="dxa" w:w="54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الفرعي فيه ضابط مطبَّق جزئياً</w:t>
            </w:r>
          </w:p>
        </w:tc>
        <w:tc>
          <w:tcPr>
            <w:tcW w:type="dxa" w:w="38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المستوى ٣</w:t>
            </w:r>
          </w:p>
        </w:tc>
      </w:tr>
      <w:tr>
        <w:trPr>
          <w:tblHeader w:val="false"/>
        </w:trPr>
        <w:tc>
          <w:tcPr>
            <w:tcW w:type="dxa" w:w="54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ضوابطه مطبَّقة بالكامل</w:t>
            </w:r>
          </w:p>
        </w:tc>
        <w:tc>
          <w:tcPr>
            <w:tcW w:type="dxa" w:w="3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يُقيَّم حتى ٥ حسب المعايير</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السقف هذه جوهرية:</w:t>
      </w:r>
      <w:r>
        <w:rPr>
          <w:rFonts w:ascii="Arial" w:cs="Arial" w:eastAsia="Arial" w:hAnsi="Arial"/>
          <w:b w:val="false"/>
          <w:bCs w:val="false"/>
          <w:color w:val="16202A"/>
          <w:sz w:val="21"/>
          <w:szCs w:val="21"/>
          <w:rtl/>
        </w:rPr>
        <w:t xml:space="preserve"> لا يُعدّ مكوّن «مُداراً» وفيه ضابط ناقص، مهما كانت مؤشراته جيدة. القياس لا يعوّض النقص.</w:t>
      </w:r>
    </w:p>
    <w:p>
      <w:pPr>
        <w:pStyle w:val="Heading2"/>
        <w:bidi/>
        <w:spacing w:after="120" w:before="280" w:line="300"/>
        <w:jc w:val="start"/>
      </w:pPr>
      <w:r>
        <w:rPr>
          <w:rFonts w:ascii="Arial" w:cs="Arial" w:eastAsia="Arial" w:hAnsi="Arial"/>
          <w:b/>
          <w:bCs/>
          <w:color w:val="15325C"/>
          <w:sz w:val="27"/>
          <w:szCs w:val="27"/>
          <w:rtl/>
        </w:rPr>
        <w:t xml:space="preserve">وحدة القياس والترجيح</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42"/>
        <w:gridCol w:w="6318"/>
      </w:tblGrid>
      <w:tr>
        <w:trPr>
          <w:tblHeader/>
        </w:trPr>
        <w:tc>
          <w:tcPr>
            <w:tcW w:type="dxa" w:w="30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3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القاعدة</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القياس</w:t>
            </w:r>
          </w:p>
        </w:tc>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الفرعي — ٢٨ مكوّناً</w:t>
            </w:r>
          </w:p>
        </w:tc>
      </w:tr>
      <w:tr>
        <w:trPr>
          <w:tblHeader w:val="false"/>
        </w:trPr>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الترجيح</w:t>
            </w:r>
          </w:p>
        </w:tc>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بعدد ضوابط كل مكوّن فرعي</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المعادلة</w:t>
            </w:r>
          </w:p>
        </w:tc>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النضج = مجموع (مستوى المكوّن × عدد ضوابطه) ÷ ١٠٨</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سبب الترجيح:</w:t>
      </w:r>
      <w:r>
        <w:rPr>
          <w:rFonts w:ascii="Arial" w:cs="Arial" w:eastAsia="Arial" w:hAnsi="Arial"/>
          <w:b w:val="false"/>
          <w:bCs w:val="false"/>
          <w:color w:val="16202A"/>
          <w:sz w:val="21"/>
          <w:szCs w:val="21"/>
          <w:rtl/>
        </w:rPr>
        <w:t xml:space="preserve"> المكوّن الفرعي ١-٧ فيه ضابط واحد و٢-١ فيه ستة. منحهما وزناً متساوياً يشوّه النتيجة.</w:t>
      </w:r>
    </w:p>
    <w:p>
      <w:pPr>
        <w:pStyle w:val="Heading2"/>
        <w:bidi/>
        <w:spacing w:after="120" w:before="280" w:line="300"/>
        <w:jc w:val="start"/>
      </w:pPr>
      <w:r>
        <w:rPr>
          <w:rFonts w:ascii="Arial" w:cs="Arial" w:eastAsia="Arial" w:hAnsi="Arial"/>
          <w:b/>
          <w:bCs/>
          <w:color w:val="15325C"/>
          <w:sz w:val="27"/>
          <w:szCs w:val="27"/>
          <w:rtl/>
        </w:rPr>
        <w:t xml:space="preserve">مثال محسوب</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الضوابط</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الحاصل</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١-٧ الالتزام بالتشريعات</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r>
      <w:tr>
        <w:trPr>
          <w:tblHeader w:val="false"/>
        </w:trPr>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 إدارة الأصول</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 الموارد البشرية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مجموع الحواصل ÷ مجموع الضوابط = مستوى النضج المرجّح.</w:t>
      </w:r>
    </w:p>
    <w:p>
      <w:pPr>
        <w:pStyle w:val="Heading2"/>
        <w:bidi/>
        <w:spacing w:after="120" w:before="280" w:line="300"/>
        <w:jc w:val="start"/>
      </w:pPr>
      <w:r>
        <w:rPr>
          <w:rFonts w:ascii="Arial" w:cs="Arial" w:eastAsia="Arial" w:hAnsi="Arial"/>
          <w:b/>
          <w:bCs/>
          <w:color w:val="15325C"/>
          <w:sz w:val="27"/>
          <w:szCs w:val="27"/>
          <w:rtl/>
        </w:rPr>
        <w:t xml:space="preserve">التحقق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الآلية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الحساب</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يُعاد حساب المستوى المرجّح من جدول التقييم ويُطابَق بالرقم المعلن في جميع الوثائق</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المستقل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تُراجَع مستويات المكونات ضمن التدقيق السنوي</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توثيق المبرر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يُوثَّق لكل مكوّن فرعي سبب منحه مستواه والمعيار غير المستوفى إن وُجد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الدورية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56"/>
        <w:gridCol w:w="5304"/>
      </w:tblGrid>
      <w:tr>
        <w:trPr>
          <w:tblHeader/>
        </w:trPr>
        <w:tc>
          <w:tcPr>
            <w:tcW w:type="dxa" w:w="40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النشاط</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r>
      <w:tr>
        <w:trPr>
          <w:tblHeader w:val="false"/>
        </w:trPr>
        <w:tc>
          <w:tcPr>
            <w:tcW w:type="dxa" w:w="4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قياس النضج الشامل</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 · ومع كل إعادة تقييم للالتزام</w:t>
            </w:r>
          </w:p>
        </w:tc>
      </w:tr>
      <w:tr>
        <w:trPr>
          <w:tblHeader w:val="false"/>
        </w:trPr>
        <w:tc>
          <w:tcPr>
            <w:tcW w:type="dxa" w:w="4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النموذج نفسه</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النموذج سنوياً على الأقل. ولا يُعدَّل مقياسه بين قياسين إلا بقرار موثق، لأن تغيير المقياس يُفقد المقارنة الزمنية معناها.</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١٤٥٠هـ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CS-STD-016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2026-10-04T11:48:02.879Z</dcterms:created>
  <dcterms:modified xsi:type="dcterms:W3CDTF">2026-10-04T11:48:02.879Z</dcterms:modified>
</cp:coreProperties>
</file>

<file path=docProps/custom.xml><?xml version="1.0" encoding="utf-8"?>
<Properties xmlns="http://schemas.openxmlformats.org/officeDocument/2006/custom-properties" xmlns:vt="http://schemas.openxmlformats.org/officeDocument/2006/docPropsVTypes"/>
</file>