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تقرير التزام</w:t>
            </w:r>
          </w:p>
          <w:p>
            <w:pPr>
              <w:bidi/>
              <w:spacing w:after="120" w:before="0" w:line="420"/>
              <w:jc w:val="start"/>
            </w:pPr>
            <w:r>
              <w:rPr>
                <w:rFonts w:ascii="Arial" w:cs="Arial" w:eastAsia="Arial" w:hAnsi="Arial"/>
                <w:b/>
                <w:bCs/>
                <w:color w:val="FFFFFF"/>
                <w:sz w:val="52"/>
                <w:szCs w:val="52"/>
                <w:rtl/>
              </w:rPr>
              <w:t xml:space="preserve">تقرير الالتزام العام — خط الأساس</w:t>
            </w:r>
          </w:p>
          <w:p>
            <w:pPr>
              <w:bidi/>
              <w:spacing w:after="260" w:before="0" w:line="300"/>
              <w:jc w:val="start"/>
            </w:pPr>
            <w:r>
              <w:rPr>
                <w:rFonts w:ascii="Arial" w:cs="Arial" w:eastAsia="Arial" w:hAnsi="Arial"/>
                <w:b w:val="false"/>
                <w:bCs w:val="false"/>
                <w:color w:val="AFC4D4"/>
                <w:sz w:val="22"/>
                <w:szCs w:val="22"/>
                <w:rtl/>
              </w:rPr>
              <w:t xml:space="preserve">الضوابط الأساسية للأمن السيبراني ECC-2:2024 · ١٠٨ ضوابط</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CS-ASM-005</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عند إعادة التقييم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الإطار كاملاً</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تقرير الالتزام العام — خط الأساس</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يجمع هذا التقرير نتائج تقييم الفجوة للضوابط الأساسية للأمن السيبراني ECC-2:2024 كاملةً في شركة نَسَق للحلول الرقمية، ويُعتمد خط أساس تُقاس عليه نتائج المعالجة لاحقاً.</w:t>
      </w:r>
    </w:p>
    <w:p>
      <w:pPr>
        <w:pStyle w:val="Heading2"/>
        <w:bidi/>
        <w:spacing w:after="120" w:before="280" w:line="300"/>
        <w:jc w:val="start"/>
      </w:pPr>
      <w:r>
        <w:rPr>
          <w:rFonts w:ascii="Arial" w:cs="Arial" w:eastAsia="Arial" w:hAnsi="Arial"/>
          <w:b/>
          <w:bCs/>
          <w:color w:val="15325C"/>
          <w:sz w:val="27"/>
          <w:szCs w:val="27"/>
          <w:rtl/>
        </w:rPr>
        <w:t xml:space="preserve">النطاق</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526"/>
        <w:gridCol w:w="5834"/>
      </w:tblGrid>
      <w:tr>
        <w:trPr>
          <w:tblHeader/>
        </w:trPr>
        <w:tc>
          <w:tcPr>
            <w:tcW w:type="dxa" w:w="352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البند</w:t>
            </w:r>
          </w:p>
        </w:tc>
        <w:tc>
          <w:tcPr>
            <w:tcW w:type="dxa" w:w="58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التفصيل</w:t>
            </w:r>
          </w:p>
        </w:tc>
      </w:tr>
      <w:tr>
        <w:trPr>
          <w:tblHeader w:val="false"/>
        </w:trPr>
        <w:tc>
          <w:tcPr>
            <w:tcW w:type="dxa" w:w="35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الإطار</w:t>
            </w:r>
          </w:p>
        </w:tc>
        <w:tc>
          <w:tcPr>
            <w:tcW w:type="dxa" w:w="58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الهيئة الوطنية للأمن السيبراني</w:t>
            </w:r>
          </w:p>
        </w:tc>
      </w:tr>
      <w:tr>
        <w:trPr>
          <w:tblHeader w:val="false"/>
        </w:trPr>
        <w:tc>
          <w:tcPr>
            <w:tcW w:type="dxa" w:w="35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المكونات الرئيسية</w:t>
            </w:r>
          </w:p>
        </w:tc>
        <w:tc>
          <w:tcPr>
            <w:tcW w:type="dxa" w:w="58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r>
      <w:tr>
        <w:trPr>
          <w:tblHeader w:val="false"/>
        </w:trPr>
        <w:tc>
          <w:tcPr>
            <w:tcW w:type="dxa" w:w="35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المكونات الفرعية</w:t>
            </w:r>
          </w:p>
        </w:tc>
        <w:tc>
          <w:tcPr>
            <w:tcW w:type="dxa" w:w="58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٢٨</w:t>
            </w:r>
          </w:p>
        </w:tc>
      </w:tr>
      <w:tr>
        <w:trPr>
          <w:tblHeader w:val="false"/>
        </w:trPr>
        <w:tc>
          <w:tcPr>
            <w:tcW w:type="dxa" w:w="35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المقيَّمة</w:t>
            </w:r>
          </w:p>
        </w:tc>
        <w:tc>
          <w:tcPr>
            <w:tcW w:type="dxa" w:w="58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١٠٨ من ١٠٨</w:t>
            </w:r>
          </w:p>
        </w:tc>
      </w:tr>
      <w:tr>
        <w:trPr>
          <w:tblHeader w:val="false"/>
        </w:trPr>
        <w:tc>
          <w:tcPr>
            <w:tcW w:type="dxa" w:w="352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تاريخ التقييم</w:t>
            </w:r>
          </w:p>
        </w:tc>
        <w:tc>
          <w:tcPr>
            <w:tcW w:type="dxa" w:w="58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r>
      <w:tr>
        <w:trPr>
          <w:tblHeader w:val="false"/>
        </w:trPr>
        <w:tc>
          <w:tcPr>
            <w:tcW w:type="dxa" w:w="352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جهة التقييم</w:t>
            </w:r>
          </w:p>
        </w:tc>
        <w:tc>
          <w:tcPr>
            <w:tcW w:type="dxa" w:w="58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التقارير التفصيلية المستنَد إليها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62"/>
        <w:gridCol w:w="4634"/>
        <w:gridCol w:w="2364"/>
      </w:tblGrid>
      <w:tr>
        <w:trPr>
          <w:tblHeader/>
        </w:trPr>
        <w:tc>
          <w:tcPr>
            <w:tcW w:type="dxa" w:w="23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التقرير</w:t>
            </w:r>
          </w:p>
        </w:tc>
        <w:tc>
          <w:tcPr>
            <w:tcW w:type="dxa" w:w="46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النطاق</w:t>
            </w:r>
          </w:p>
        </w:tc>
        <w:tc>
          <w:tcPr>
            <w:tcW w:type="dxa" w:w="23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الضوابط</w:t>
            </w:r>
          </w:p>
        </w:tc>
      </w:tr>
      <w:tr>
        <w:trPr>
          <w:tblHeader w:val="false"/>
        </w:trPr>
        <w:tc>
          <w:tcPr>
            <w:tcW w:type="dxa" w:w="23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CS-ASM-001</w:t>
            </w:r>
          </w:p>
        </w:tc>
        <w:tc>
          <w:tcPr>
            <w:tcW w:type="dxa" w:w="46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الأول — حوكمة الأمن السيبراني</w:t>
            </w:r>
          </w:p>
        </w:tc>
        <w:tc>
          <w:tcPr>
            <w:tcW w:type="dxa" w:w="23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٣٥</w:t>
            </w:r>
          </w:p>
        </w:tc>
      </w:tr>
      <w:tr>
        <w:trPr>
          <w:tblHeader w:val="false"/>
        </w:trPr>
        <w:tc>
          <w:tcPr>
            <w:tcW w:type="dxa" w:w="23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CS-ASM-002</w:t>
            </w:r>
          </w:p>
        </w:tc>
        <w:tc>
          <w:tcPr>
            <w:tcW w:type="dxa" w:w="46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الثاني — تعزيز الأمن السيبراني</w:t>
            </w:r>
          </w:p>
        </w:tc>
        <w:tc>
          <w:tcPr>
            <w:tcW w:type="dxa" w:w="23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٦١</w:t>
            </w:r>
          </w:p>
        </w:tc>
      </w:tr>
      <w:tr>
        <w:trPr>
          <w:tblHeader w:val="false"/>
        </w:trPr>
        <w:tc>
          <w:tcPr>
            <w:tcW w:type="dxa" w:w="23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CS-ASM-003</w:t>
            </w:r>
          </w:p>
        </w:tc>
        <w:tc>
          <w:tcPr>
            <w:tcW w:type="dxa" w:w="46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الثالث — صمود الأمن السيبراني</w:t>
            </w:r>
          </w:p>
        </w:tc>
        <w:tc>
          <w:tcPr>
            <w:tcW w:type="dxa" w:w="23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r>
      <w:tr>
        <w:trPr>
          <w:tblHeader w:val="false"/>
        </w:trPr>
        <w:tc>
          <w:tcPr>
            <w:tcW w:type="dxa" w:w="23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CS-ASM-004</w:t>
            </w:r>
          </w:p>
        </w:tc>
        <w:tc>
          <w:tcPr>
            <w:tcW w:type="dxa" w:w="46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المكوّن الرابع — الأطراف الخارجية والحوسبة السحابية</w:t>
            </w:r>
          </w:p>
        </w:tc>
        <w:tc>
          <w:tcPr>
            <w:tcW w:type="dxa" w:w="23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النتيجة العامة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120"/>
        <w:gridCol w:w="3120"/>
        <w:gridCol w:w="3120"/>
      </w:tblGrid>
      <w:tr>
        <w:trPr>
          <w:tblHeader/>
        </w:trPr>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الحالة</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العدد</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النسبة من الضوابط</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بالكامل</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مطبَّق جزئياً</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٣٩</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٣٦%</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مطبَّق</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٦٨</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٦٣%</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غير منطبق</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t>
            </w:r>
          </w:p>
        </w:tc>
      </w:tr>
      <w:tr>
        <w:trPr>
          <w:tblHeader w:val="false"/>
        </w:trPr>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نسبة الالتزام العامة</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١٩%</w:t>
            </w:r>
          </w:p>
        </w:tc>
      </w:tr>
      <w:tr>
        <w:trPr>
          <w:tblHeader w:val="false"/>
        </w:trPr>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مستوى النضج</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١.٦ من ٥</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النتيجة حسب المكوّن الرئيسي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236"/>
        <w:gridCol w:w="2561"/>
        <w:gridCol w:w="2563"/>
      </w:tblGrid>
      <w:tr>
        <w:trPr>
          <w:tblHeader/>
        </w:trPr>
        <w:tc>
          <w:tcPr>
            <w:tcW w:type="dxa" w:w="423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w:t>
            </w:r>
          </w:p>
        </w:tc>
        <w:tc>
          <w:tcPr>
            <w:tcW w:type="dxa" w:w="256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الضوابط</w:t>
            </w:r>
          </w:p>
        </w:tc>
        <w:tc>
          <w:tcPr>
            <w:tcW w:type="dxa" w:w="25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نسبة الالتزام</w:t>
            </w:r>
          </w:p>
        </w:tc>
      </w:tr>
      <w:tr>
        <w:trPr>
          <w:tblHeader w:val="false"/>
        </w:trPr>
        <w:tc>
          <w:tcPr>
            <w:tcW w:type="dxa" w:w="42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الأول — حوكمة الأمن السيبراني</w:t>
            </w:r>
          </w:p>
        </w:tc>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٣٥</w:t>
            </w:r>
          </w:p>
        </w:tc>
        <w:tc>
          <w:tcPr>
            <w:tcW w:type="dxa" w:w="2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w:t>
            </w:r>
          </w:p>
        </w:tc>
      </w:tr>
      <w:tr>
        <w:trPr>
          <w:tblHeader w:val="false"/>
        </w:trPr>
        <w:tc>
          <w:tcPr>
            <w:tcW w:type="dxa" w:w="42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الثاني — تعزيز الأمن السيبراني</w:t>
            </w:r>
          </w:p>
        </w:tc>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٦١</w:t>
            </w:r>
          </w:p>
        </w:tc>
        <w:tc>
          <w:tcPr>
            <w:tcW w:type="dxa" w:w="2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w:t>
            </w:r>
          </w:p>
        </w:tc>
      </w:tr>
      <w:tr>
        <w:trPr>
          <w:tblHeader w:val="false"/>
        </w:trPr>
        <w:tc>
          <w:tcPr>
            <w:tcW w:type="dxa" w:w="42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الثالث — صمود الأمن السيبراني</w:t>
            </w:r>
          </w:p>
        </w:tc>
        <w:tc>
          <w:tcPr>
            <w:tcW w:type="dxa" w:w="256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w:t>
            </w:r>
          </w:p>
        </w:tc>
      </w:tr>
      <w:tr>
        <w:trPr>
          <w:tblHeader w:val="false"/>
        </w:trPr>
        <w:tc>
          <w:tcPr>
            <w:tcW w:type="dxa" w:w="42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الرابع — الأطراف الخارجية والحوسبة السحابية</w:t>
            </w:r>
          </w:p>
        </w:tc>
        <w:tc>
          <w:tcPr>
            <w:tcW w:type="dxa" w:w="256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2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النتيجة حسب المكوّن الفرعي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224"/>
        <w:gridCol w:w="2045"/>
        <w:gridCol w:w="2045"/>
        <w:gridCol w:w="2046"/>
      </w:tblGrid>
      <w:tr>
        <w:trPr>
          <w:tblHeader/>
        </w:trPr>
        <w:tc>
          <w:tcPr>
            <w:tcW w:type="dxa" w:w="322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 الفرعي</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الرقم</w:t>
            </w:r>
          </w:p>
        </w:tc>
        <w:tc>
          <w:tcPr>
            <w:tcW w:type="dxa" w:w="20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الضوابط</w:t>
            </w:r>
          </w:p>
        </w:tc>
        <w:tc>
          <w:tcPr>
            <w:tcW w:type="dxa" w:w="20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النسبة</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استراتيجية الأمن السيبراني</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الأمن السيبراني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٥٠%</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سياسات وإجراءات الأمن السيبراني</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١-٣</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أدوار ومسؤوليات الأمن السيبراني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مخاطر الأمن السيبراني</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السيبراني ضمن إدارة المشاريع</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١-٦</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٣٨%</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بالتشريعات والتنظيمات</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١-٧</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المراجعة والتدقيق الدوري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١-٨</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١٧%</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السيبراني المتعلق بالموارد البشرية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التوعية والتدريب</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١-١٠</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٢٠%</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الأصول</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هويات الدخول والصلاحيات</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٢-٢</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الأنظمة وأجهزة معالجة المعلومات</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البريد الإلكتروني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أمن الشبكات</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الأجهزة المحمولة</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٢-٦</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البيانات والمعلومات</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٢-٧</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٢-٨</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النسخ الاحتياطية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الثغرات</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٢-١٠</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الاختراق</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٢-١١</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٠%</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سجلات الأحداث والمراقبة</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٢-١٢</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حوادث وتهديدات الأمن السيبراني</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٢-١٣</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المادي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٢-١٤</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تطبيقات الويب</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٢-١٥</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صمود الأمن السيبراني</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٣-١</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r>
      <w:tr>
        <w:trPr>
          <w:tblHeader w:val="false"/>
        </w:trPr>
        <w:tc>
          <w:tcPr>
            <w:tcW w:type="dxa" w:w="322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السيبراني المتعلق بالأطراف الخارجية</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w:t>
            </w:r>
          </w:p>
        </w:tc>
        <w:tc>
          <w:tcPr>
            <w:tcW w:type="dxa" w:w="20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١٢%</w:t>
            </w:r>
          </w:p>
        </w:tc>
      </w:tr>
      <w:tr>
        <w:trPr>
          <w:tblHeader w:val="false"/>
        </w:trPr>
        <w:tc>
          <w:tcPr>
            <w:tcW w:type="dxa" w:w="322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السيبراني المتعلق بالحوسبة السحابية</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٤-٢</w:t>
            </w:r>
          </w:p>
        </w:tc>
        <w:tc>
          <w:tcPr>
            <w:tcW w:type="dxa" w:w="20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20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المكونات الفرعية عديمة الالتزام</w:t>
      </w:r>
    </w:p>
    <w:p>
      <w:pPr>
        <w:bidi/>
        <w:spacing w:after="140" w:before="0" w:line="300"/>
        <w:jc w:val="start"/>
      </w:pPr>
      <w:r>
        <w:rPr>
          <w:rFonts w:ascii="Arial" w:cs="Arial" w:eastAsia="Arial" w:hAnsi="Arial"/>
          <w:b w:val="false"/>
          <w:bCs w:val="false"/>
          <w:color w:val="16202A"/>
          <w:sz w:val="21"/>
          <w:szCs w:val="21"/>
          <w:rtl/>
        </w:rPr>
        <w:t xml:space="preserve">خمسة مكونات فرعية لم يُطبَّق فيها أي ضابط، وتمثل أولوية قصوى في خطة المعالجة: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264"/>
        <w:gridCol w:w="1962"/>
        <w:gridCol w:w="5134"/>
      </w:tblGrid>
      <w:tr>
        <w:trPr>
          <w:tblHeader/>
        </w:trPr>
        <w:tc>
          <w:tcPr>
            <w:tcW w:type="dxa" w:w="226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 الفرعي</w:t>
            </w:r>
          </w:p>
        </w:tc>
        <w:tc>
          <w:tcPr>
            <w:tcW w:type="dxa" w:w="19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الرقم</w:t>
            </w:r>
          </w:p>
        </w:tc>
        <w:tc>
          <w:tcPr>
            <w:tcW w:type="dxa" w:w="5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الأثر</w:t>
            </w:r>
          </w:p>
        </w:tc>
      </w:tr>
      <w:tr>
        <w:trPr>
          <w:tblHeader w:val="false"/>
        </w:trPr>
        <w:tc>
          <w:tcPr>
            <w:tcW w:type="dxa" w:w="22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استراتيجية الأمن السيبراني</w:t>
            </w:r>
          </w:p>
        </w:tc>
        <w:tc>
          <w:tcPr>
            <w:tcW w:type="dxa" w:w="19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١-١</w:t>
            </w:r>
          </w:p>
        </w:tc>
        <w:tc>
          <w:tcPr>
            <w:tcW w:type="dxa" w:w="5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غياب المرجع الذي تستند إليه بقية المكونات وتُشتق منه الأولويات والميزانية</w:t>
            </w:r>
          </w:p>
        </w:tc>
      </w:tr>
      <w:tr>
        <w:trPr>
          <w:tblHeader w:val="false"/>
        </w:trPr>
        <w:tc>
          <w:tcPr>
            <w:tcW w:type="dxa" w:w="22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مخاطر الأمن السيبراني</w:t>
            </w:r>
          </w:p>
        </w:tc>
        <w:tc>
          <w:tcPr>
            <w:tcW w:type="dxa" w:w="19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w:t>
            </w:r>
          </w:p>
        </w:tc>
        <w:tc>
          <w:tcPr>
            <w:tcW w:type="dxa" w:w="5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تعذّر ترتيب الأولويات على أساس المخاطر، وإطلاق التغييرات على الإنتاج دون تقييم</w:t>
            </w:r>
          </w:p>
        </w:tc>
      </w:tr>
      <w:tr>
        <w:trPr>
          <w:tblHeader w:val="false"/>
        </w:trPr>
        <w:tc>
          <w:tcPr>
            <w:tcW w:type="dxa" w:w="22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 بالتشريعات والتنظيمات</w:t>
            </w:r>
          </w:p>
        </w:tc>
        <w:tc>
          <w:tcPr>
            <w:tcW w:type="dxa" w:w="19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١-٧</w:t>
            </w:r>
          </w:p>
        </w:tc>
        <w:tc>
          <w:tcPr>
            <w:tcW w:type="dxa" w:w="5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عدم حصر المتطلبات النظامية المنطبقة على الشركة</w:t>
            </w:r>
          </w:p>
        </w:tc>
      </w:tr>
      <w:tr>
        <w:trPr>
          <w:tblHeader w:val="false"/>
        </w:trPr>
        <w:tc>
          <w:tcPr>
            <w:tcW w:type="dxa" w:w="22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الأجهزة المحمولة</w:t>
            </w:r>
          </w:p>
        </w:tc>
        <w:tc>
          <w:tcPr>
            <w:tcW w:type="dxa" w:w="19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٢-٦</w:t>
            </w:r>
          </w:p>
        </w:tc>
        <w:tc>
          <w:tcPr>
            <w:tcW w:type="dxa" w:w="5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غير مضبوط إلى بيانات الشركة من أجهزة شخصية</w:t>
            </w:r>
          </w:p>
        </w:tc>
      </w:tr>
      <w:tr>
        <w:trPr>
          <w:tblHeader w:val="false"/>
        </w:trPr>
        <w:tc>
          <w:tcPr>
            <w:tcW w:type="dxa" w:w="226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البيانات والمعلومات</w:t>
            </w:r>
          </w:p>
        </w:tc>
        <w:tc>
          <w:tcPr>
            <w:tcW w:type="dxa" w:w="19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٢-٧</w:t>
            </w:r>
          </w:p>
        </w:tc>
        <w:tc>
          <w:tcPr>
            <w:tcW w:type="dxa" w:w="5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معالجة بيانات شخصية لمستفيدي جهات حكومية دون تصنيف ولا ضوابط حماية</w:t>
            </w:r>
          </w:p>
        </w:tc>
      </w:tr>
      <w:tr>
        <w:trPr>
          <w:tblHeader w:val="false"/>
        </w:trPr>
        <w:tc>
          <w:tcPr>
            <w:tcW w:type="dxa" w:w="226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الاختراق</w:t>
            </w:r>
          </w:p>
        </w:tc>
        <w:tc>
          <w:tcPr>
            <w:tcW w:type="dxa" w:w="19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٢-١١</w:t>
            </w:r>
          </w:p>
        </w:tc>
        <w:tc>
          <w:tcPr>
            <w:tcW w:type="dxa" w:w="5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ثلاثة وعشرون نظاماً منشوراً على الإنترنت دون أي اختبار</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أعلى عشر فجوات أثراً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352"/>
        <w:gridCol w:w="1352"/>
        <w:gridCol w:w="3120"/>
        <w:gridCol w:w="3536"/>
      </w:tblGrid>
      <w:tr>
        <w:trPr>
          <w:tblHeader/>
        </w:trPr>
        <w:tc>
          <w:tcPr>
            <w:tcW w:type="dxa" w:w="135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135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31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الفجوة</w:t>
            </w:r>
          </w:p>
        </w:tc>
        <w:tc>
          <w:tcPr>
            <w:tcW w:type="dxa" w:w="353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الأثر المحتمل</w:t>
            </w:r>
          </w:p>
        </w:tc>
      </w:tr>
      <w:tr>
        <w:trPr>
          <w:tblHeader w:val="false"/>
        </w:trPr>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٢-٨-٣</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مفاتيح وبيانات اعتماد داخل مستودعات الكود المصدري</w:t>
            </w:r>
          </w:p>
        </w:tc>
        <w:tc>
          <w:tcPr>
            <w:tcW w:type="dxa" w:w="3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وصول مباشر إلى الأنظمة الثلاثة والعشرين لأي شخص لديه صلاحية على الكود</w:t>
            </w:r>
          </w:p>
        </w:tc>
      </w:tr>
      <w:tr>
        <w:trPr>
          <w:tblHeader w:val="false"/>
        </w:trPr>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٤-١-٣</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مورّدون فرعيون ومطوّرون متعاقدون دون تقييم ولا التزام تعاقدي</w:t>
            </w:r>
          </w:p>
        </w:tc>
        <w:tc>
          <w:tcPr>
            <w:tcW w:type="dxa" w:w="3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اختراق سلسلة الإمداد البرمجية وانتشاره إلى جميع الجهات العميلة</w:t>
            </w:r>
          </w:p>
        </w:tc>
      </w:tr>
      <w:tr>
        <w:trPr>
          <w:tblHeader w:val="false"/>
        </w:trPr>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٢-٩-٣</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 احتياطية غير معزولة ولم تُختبر استعادتها</w:t>
            </w:r>
          </w:p>
        </w:tc>
        <w:tc>
          <w:tcPr>
            <w:tcW w:type="dxa" w:w="3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تعذّر التعافي من هجوم فدية</w:t>
            </w:r>
          </w:p>
        </w:tc>
      </w:tr>
      <w:tr>
        <w:trPr>
          <w:tblHeader w:val="false"/>
        </w:trPr>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٢-٥-٣</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عدم عزل بيئة الإنتاج عن بيئتي التطوير والاختبار</w:t>
            </w:r>
          </w:p>
        </w:tc>
        <w:tc>
          <w:tcPr>
            <w:tcW w:type="dxa" w:w="3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تجاوز ضوابط المحيط الشبكي بالكامل عبر مسار داخلي</w:t>
            </w:r>
          </w:p>
        </w:tc>
      </w:tr>
      <w:tr>
        <w:trPr>
          <w:tblHeader w:val="false"/>
        </w:trPr>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٢-٢-٣</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تسعة حسابات إدارية مشتركة في بيئة الإنتاج</w:t>
            </w:r>
          </w:p>
        </w:tc>
        <w:tc>
          <w:tcPr>
            <w:tcW w:type="dxa" w:w="3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تعذّر نسب الأفعال إلى فاعليها وفقدان القيمة الاستدلالية للسجلات</w:t>
            </w:r>
          </w:p>
        </w:tc>
      </w:tr>
      <w:tr>
        <w:trPr>
          <w:tblHeader w:val="false"/>
        </w:trPr>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٢-١٣-٣</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غياب آلية إبلاغ الهيئة الوطنية للأمن السيبراني عن الحوادث</w:t>
            </w:r>
          </w:p>
        </w:tc>
        <w:tc>
          <w:tcPr>
            <w:tcW w:type="dxa" w:w="3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تحوّل الحادثة التقنية إلى مخالفة تنظيمية</w:t>
            </w:r>
          </w:p>
        </w:tc>
      </w:tr>
      <w:tr>
        <w:trPr>
          <w:tblHeader w:val="false"/>
        </w:trPr>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١-٥-٢</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يوجد سجل مخاطر ولا خطط معالجة</w:t>
            </w:r>
          </w:p>
        </w:tc>
        <w:tc>
          <w:tcPr>
            <w:tcW w:type="dxa" w:w="3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اتخاذ قرارات الإنفاذ والإنفاق دون أساس</w:t>
            </w:r>
          </w:p>
        </w:tc>
      </w:tr>
      <w:tr>
        <w:trPr>
          <w:tblHeader w:val="false"/>
        </w:trPr>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٢-٧-٢</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بيانات شخصية غير مصنّفة ودون ضوابط حماية</w:t>
            </w:r>
          </w:p>
        </w:tc>
        <w:tc>
          <w:tcPr>
            <w:tcW w:type="dxa" w:w="3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مخالفة نظام حماية البيانات الشخصية والتزامات العقود</w:t>
            </w:r>
          </w:p>
        </w:tc>
      </w:tr>
      <w:tr>
        <w:trPr>
          <w:tblHeader w:val="false"/>
        </w:trPr>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135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٢-١١-٢</w:t>
            </w:r>
          </w:p>
        </w:tc>
        <w:tc>
          <w:tcPr>
            <w:tcW w:type="dxa" w:w="31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يوجد برنامج اختبار اختراق</w:t>
            </w:r>
          </w:p>
        </w:tc>
        <w:tc>
          <w:tcPr>
            <w:tcW w:type="dxa" w:w="3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ثغرات غير مكتشفة في الواجهات الأكثر تعرضاً</w:t>
            </w:r>
          </w:p>
        </w:tc>
      </w:tr>
      <w:tr>
        <w:trPr>
          <w:tblHeader w:val="false"/>
        </w:trPr>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135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٣-١-٣</w:t>
            </w:r>
          </w:p>
        </w:tc>
        <w:tc>
          <w:tcPr>
            <w:tcW w:type="dxa" w:w="31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موقع تعافٍ لم يُختبر تحويل الخدمة إليه</w:t>
            </w:r>
          </w:p>
        </w:tc>
        <w:tc>
          <w:tcPr>
            <w:tcW w:type="dxa" w:w="3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انقطاع ممتد للخدمات الحكومية عند وقوع كارثة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ملاحظات منهجية</w:t>
      </w:r>
    </w:p>
    <w:p>
      <w:pPr>
        <w:bidi/>
        <w:spacing w:after="140" w:before="0" w:line="300"/>
        <w:jc w:val="start"/>
      </w:pPr>
      <w:r>
        <w:rPr>
          <w:rFonts w:ascii="Arial" w:cs="Arial" w:eastAsia="Arial" w:hAnsi="Arial"/>
          <w:b/>
          <w:bCs/>
          <w:color w:val="15325C"/>
          <w:sz w:val="21"/>
          <w:szCs w:val="21"/>
          <w:rtl/>
        </w:rPr>
        <w:t xml:space="preserve">الفارق بين التقدير الذاتي والتقييم التفصيلي.</w:t>
      </w:r>
      <w:r>
        <w:rPr>
          <w:rFonts w:ascii="Arial" w:cs="Arial" w:eastAsia="Arial" w:hAnsi="Arial"/>
          <w:b w:val="false"/>
          <w:bCs w:val="false"/>
          <w:color w:val="16202A"/>
          <w:sz w:val="21"/>
          <w:szCs w:val="21"/>
          <w:rtl/>
        </w:rPr>
        <w:t xml:space="preserve"> قدّرت الشركة التزامها مبدئياً بنحو ٢٧% قبل إجراء التقييم، وأظهر التقييم التفصيلي نسبة ١٩%. يعود الفارق إلى احتساب ضوابط في التقدير الذاتي على أنها مطبَّقة استناداً إلى وجود ممارسة فعلية، بينما لم تستوفِ شرطي التوثيق والاعتماد المطلوبَين في مقياس التقييم.</w:t>
      </w:r>
    </w:p>
    <w:p>
      <w:pPr>
        <w:bidi/>
        <w:spacing w:after="140" w:before="0" w:line="300"/>
        <w:jc w:val="start"/>
      </w:pPr>
      <w:r>
        <w:rPr>
          <w:rFonts w:ascii="Arial" w:cs="Arial" w:eastAsia="Arial" w:hAnsi="Arial"/>
          <w:b/>
          <w:bCs/>
          <w:color w:val="15325C"/>
          <w:sz w:val="21"/>
          <w:szCs w:val="21"/>
          <w:rtl/>
        </w:rPr>
        <w:t xml:space="preserve">أثر شرط الاعتماد.</w:t>
      </w:r>
      <w:r>
        <w:rPr>
          <w:rFonts w:ascii="Arial" w:cs="Arial" w:eastAsia="Arial" w:hAnsi="Arial"/>
          <w:b w:val="false"/>
          <w:bCs w:val="false"/>
          <w:color w:val="16202A"/>
          <w:sz w:val="21"/>
          <w:szCs w:val="21"/>
          <w:rtl/>
        </w:rPr>
        <w:t xml:space="preserve"> أغلب الضوابط المصنّفة «مطبَّقة جزئياً» تعود لسبب واحد متكرر: وجود الممارسة دون وثيقة معتمدة من صاحب الصلاحية. ويُتوقع ارتفاع ملموس في نسبة الالتزام عند اعتماد حزمة السياسات دون تغييرات تقنية كبيرة.</w:t>
      </w:r>
    </w:p>
    <w:p>
      <w:pPr>
        <w:bidi/>
        <w:spacing w:after="140" w:before="0" w:line="300"/>
        <w:jc w:val="start"/>
      </w:pPr>
      <w:r>
        <w:rPr>
          <w:rFonts w:ascii="Arial" w:cs="Arial" w:eastAsia="Arial" w:hAnsi="Arial"/>
          <w:b/>
          <w:bCs/>
          <w:color w:val="15325C"/>
          <w:sz w:val="21"/>
          <w:szCs w:val="21"/>
          <w:rtl/>
        </w:rPr>
        <w:t xml:space="preserve">تركّز الفجوات في التوثيق لا في القدرة.</w:t>
      </w:r>
      <w:r>
        <w:rPr>
          <w:rFonts w:ascii="Arial" w:cs="Arial" w:eastAsia="Arial" w:hAnsi="Arial"/>
          <w:b w:val="false"/>
          <w:bCs w:val="false"/>
          <w:color w:val="16202A"/>
          <w:sz w:val="21"/>
          <w:szCs w:val="21"/>
          <w:rtl/>
        </w:rPr>
        <w:t xml:space="preserve"> الشركة تملك مركز عمليات أمنية يعمل على مدار الساعة وفريقاً من أربعة عشر موظفاً، ومع ذلك لم يُصنَّف أي ضابط في المكوّن الثاني مطبَّقاً بالكامل. القدرة التشغيلية قائمة، والناقص هو الحوكمة التي تحوّلها إلى التزام قابل للإثبات.</w:t>
      </w:r>
    </w:p>
    <w:p>
      <w:pPr>
        <w:pStyle w:val="Heading2"/>
        <w:bidi/>
        <w:spacing w:after="120" w:before="280" w:line="300"/>
        <w:jc w:val="start"/>
      </w:pPr>
      <w:r>
        <w:rPr>
          <w:rFonts w:ascii="Arial" w:cs="Arial" w:eastAsia="Arial" w:hAnsi="Arial"/>
          <w:b/>
          <w:bCs/>
          <w:color w:val="15325C"/>
          <w:sz w:val="27"/>
          <w:szCs w:val="27"/>
          <w:rtl/>
        </w:rPr>
        <w:t xml:space="preserve">الخطوة التالية</w:t>
      </w:r>
    </w:p>
    <w:p>
      <w:pPr>
        <w:bidi/>
        <w:spacing w:after="140" w:before="0" w:line="300"/>
        <w:jc w:val="start"/>
      </w:pPr>
      <w:r>
        <w:rPr>
          <w:rFonts w:ascii="Arial" w:cs="Arial" w:eastAsia="Arial" w:hAnsi="Arial"/>
          <w:b w:val="false"/>
          <w:bCs w:val="false"/>
          <w:color w:val="16202A"/>
          <w:sz w:val="21"/>
          <w:szCs w:val="21"/>
          <w:rtl/>
        </w:rPr>
        <w:t xml:space="preserve">يُعتمد هذا التقرير خط أساس، وتُبنى عليه خطة المعالجة وخارطة الطريق، ثم يُعاد التقييم بالمنهجية ذاتها لقياس الأثر.</w:t>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CS-ASM-005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CS-ASM-005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CS-ASM-005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2026-10-04T11:47:58.710Z</dcterms:created>
  <dcterms:modified xsi:type="dcterms:W3CDTF">2026-10-04T11:47:58.711Z</dcterms:modified>
</cp:coreProperties>
</file>

<file path=docProps/custom.xml><?xml version="1.0" encoding="utf-8"?>
<Properties xmlns="http://schemas.openxmlformats.org/officeDocument/2006/custom-properties" xmlns:vt="http://schemas.openxmlformats.org/officeDocument/2006/docPropsVTypes"/>
</file>