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وثيقة تعريفية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ملف تعريف الجهة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النشاط والهيكل التنظيمي والبيئة التقنية والوضع الراهن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داخلي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CS-DOC-001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أساس المشروع — مرجع لجميع الضوابط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«داخلي».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ملف تعريف الجهة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١. التعريف بالشركة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588"/>
        <w:gridCol w:w="6772"/>
      </w:tblGrid>
      <w:tr>
        <w:trPr>
          <w:tblHeader/>
        </w:trPr>
        <w:tc>
          <w:tcPr>
            <w:tcW w:type="dxa" w:w="25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77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التفصيل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الاسم النظامي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شركة نَسَق للحلول الرقمية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الاسم المختصر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نَسَق — NDS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السجل التجاري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١٠١٠٤٧٣٨٢٩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سنة التأسيس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٢٠١٤م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المقر الرئيسي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الرياض — واحة المعرفة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القطاع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تقنية المعلومات — تطوير واستضافة وتشغيل المنصات الرقمية الحكومية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نوع الملكية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شركة مساهمة مقفلة: ٣٠% صندوق استثماري حكومي، ٧٠% مستثمرون من القطاع الخاص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عدد الموظفين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٧٨٠ موظفاً</w:t>
            </w:r>
          </w:p>
        </w:tc>
      </w:tr>
      <w:tr>
        <w:trPr>
          <w:tblHeader w:val="false"/>
        </w:trPr>
        <w:tc>
          <w:tcPr>
            <w:tcW w:type="dxa" w:w="25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الإيرادات السنوية</w:t>
            </w:r>
          </w:p>
        </w:tc>
        <w:tc>
          <w:tcPr>
            <w:tcW w:type="dxa" w:w="677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٩٤٠ مليون ريال</w:t>
            </w:r>
          </w:p>
        </w:tc>
      </w:tr>
      <w:tr>
        <w:trPr>
          <w:tblHeader w:val="false"/>
        </w:trPr>
        <w:tc>
          <w:tcPr>
            <w:tcW w:type="dxa" w:w="25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العملاء</w:t>
            </w:r>
          </w:p>
        </w:tc>
        <w:tc>
          <w:tcPr>
            <w:tcW w:type="dxa" w:w="677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١١ جهة حكومية بعقود تشغيل طويلة الأجل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٢. طبيعة النشاط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تعتمد الشركة نموذج «البناء ثم التشغيل»، حيث تصمّم المنصة الرقمية للجهة الحكومية ثم تستضيفها وتشغّلها نيابةً عنها بموجب عقد تشغيل يمتد من خمس إلى عشر سنوات.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674"/>
        <w:gridCol w:w="2674"/>
        <w:gridCol w:w="4012"/>
      </w:tblGrid>
      <w:tr>
        <w:trPr>
          <w:tblHeader/>
        </w:trPr>
        <w:tc>
          <w:tcPr>
            <w:tcW w:type="dxa" w:w="267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نوع المنصة</w:t>
            </w:r>
          </w:p>
        </w:tc>
        <w:tc>
          <w:tcPr>
            <w:tcW w:type="dxa" w:w="267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  <w:tc>
          <w:tcPr>
            <w:tcW w:type="dxa" w:w="401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نطاق الخدمة</w:t>
            </w:r>
          </w:p>
        </w:tc>
      </w:tr>
      <w:tr>
        <w:trPr>
          <w:tblHeader w:val="false"/>
        </w:trPr>
        <w:tc>
          <w:tcPr>
            <w:tcW w:type="dxa" w:w="26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بوابات خدمات إلكترونية</w:t>
            </w:r>
          </w:p>
        </w:tc>
        <w:tc>
          <w:tcPr>
            <w:tcW w:type="dxa" w:w="26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401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تقديم الطلبات ومتابعتها للمستفيدين</w:t>
            </w:r>
          </w:p>
        </w:tc>
      </w:tr>
      <w:tr>
        <w:trPr>
          <w:tblHeader w:val="false"/>
        </w:trPr>
        <w:tc>
          <w:tcPr>
            <w:tcW w:type="dxa" w:w="26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أنظمة تراخيص وتصاريح</w:t>
            </w:r>
          </w:p>
        </w:tc>
        <w:tc>
          <w:tcPr>
            <w:tcW w:type="dxa" w:w="26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  <w:tc>
          <w:tcPr>
            <w:tcW w:type="dxa" w:w="401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إصدار وتجديد التراخيص المهنية والتجارية</w:t>
            </w:r>
          </w:p>
        </w:tc>
      </w:tr>
      <w:tr>
        <w:trPr>
          <w:tblHeader w:val="false"/>
        </w:trPr>
        <w:tc>
          <w:tcPr>
            <w:tcW w:type="dxa" w:w="26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أنظمة مدفوعات ومطالبات</w:t>
            </w:r>
          </w:p>
        </w:tc>
        <w:tc>
          <w:tcPr>
            <w:tcW w:type="dxa" w:w="26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401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تحصيل الرسوم والربط مع بوابات الدفع</w:t>
            </w:r>
          </w:p>
        </w:tc>
      </w:tr>
      <w:tr>
        <w:trPr>
          <w:tblHeader w:val="false"/>
        </w:trPr>
        <w:tc>
          <w:tcPr>
            <w:tcW w:type="dxa" w:w="26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أنظمة إدارية داخلية للجهات</w:t>
            </w:r>
          </w:p>
        </w:tc>
        <w:tc>
          <w:tcPr>
            <w:tcW w:type="dxa" w:w="26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٨</w:t>
            </w:r>
          </w:p>
        </w:tc>
        <w:tc>
          <w:tcPr>
            <w:tcW w:type="dxa" w:w="401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أنظمة مراسلات وموارد بشرية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تُشغّل الشركة ٢٣ نظاماً في بيئة الإنتاج، من بينها ٦ أنظمة صنّفتها الجهات المالكة لها ضمن الأنظمة الحساسة.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٣. انطباق الضوابط الأساسية للأمن السيبراني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يشمل نطاق الضوابط الأساسية للأمن السيبراني ECC-2:2024 الجهات الحكومية في المملكة، وجهات القطاع الخاص التي تمتلك بنى تحتية وطنية حساسة أو تقوم بتشغيلها أو استضافتها.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تقع شركة نَسَق ضمن هذا النطاق استناداً إلى ما يلي: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028"/>
        <w:gridCol w:w="2028"/>
        <w:gridCol w:w="5304"/>
      </w:tblGrid>
      <w:tr>
        <w:trPr>
          <w:tblHeader/>
        </w:trPr>
        <w:tc>
          <w:tcPr>
            <w:tcW w:type="dxa" w:w="202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202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الأساس</w:t>
            </w:r>
          </w:p>
        </w:tc>
        <w:tc>
          <w:tcPr>
            <w:tcW w:type="dxa" w:w="530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الوصف</w:t>
            </w:r>
          </w:p>
        </w:tc>
      </w:tr>
      <w:tr>
        <w:trPr>
          <w:tblHeader w:val="false"/>
        </w:trPr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الاستضافة والتشغيل</w:t>
            </w:r>
          </w:p>
        </w:tc>
        <w:tc>
          <w:tcPr>
            <w:tcW w:type="dxa" w:w="53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تستضيف الشركة وتشغّل ٢٣ نظاماً حكومياً، ٦ منها مصنّفة ضمن الأنظمة الحساسة</w:t>
            </w:r>
          </w:p>
        </w:tc>
      </w:tr>
      <w:tr>
        <w:trPr>
          <w:tblHeader w:val="false"/>
        </w:trPr>
        <w:tc>
          <w:tcPr>
            <w:tcW w:type="dxa" w:w="20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20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الملكية</w:t>
            </w:r>
          </w:p>
        </w:tc>
        <w:tc>
          <w:tcPr>
            <w:tcW w:type="dxa" w:w="53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يملك صندوق استثماري حكومي ٣٠% من رأس المال</w:t>
            </w:r>
          </w:p>
        </w:tc>
      </w:tr>
      <w:tr>
        <w:trPr>
          <w:tblHeader w:val="false"/>
        </w:trPr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20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الالتزام التعاقدي</w:t>
            </w:r>
          </w:p>
        </w:tc>
        <w:tc>
          <w:tcPr>
            <w:tcW w:type="dxa" w:w="53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تتضمن عقود التشغيل مع الجهات العميلة متطلبات أمن سيبراني ملزِمة على الشركة بصفتها طرفاً خارجياً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تجمع الشركة بين صفتين في آنٍ واحد: فهي جهة ملزَمة بتطبيق الضوابط على أصولها، وهي في الوقت ذاته طرف خارجي بالنسبة لعملائها الحكوميين، تسري عليها المتطلبات التي يفرضها هؤلاء العملاء ضمن المكوّن الرابع من الضوابط.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٤. الهيكل التنظيمي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المستوى</w:t>
            </w:r>
          </w:p>
        </w:tc>
        <w:tc>
          <w:tcPr>
            <w:tcW w:type="dxa" w:w="636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الوحدات التنظيمية</w:t>
            </w:r>
          </w:p>
        </w:tc>
      </w:tr>
      <w:tr>
        <w:trPr>
          <w:tblHeader w:val="false"/>
        </w:trPr>
        <w:tc>
          <w:tcPr>
            <w:tcW w:type="dxa" w:w="299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المستوى الأعلى</w:t>
            </w:r>
          </w:p>
        </w:tc>
        <w:tc>
          <w:tcPr>
            <w:tcW w:type="dxa" w:w="63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مجلس الإدارة</w:t>
            </w:r>
          </w:p>
        </w:tc>
      </w:tr>
      <w:tr>
        <w:trPr>
          <w:tblHeader w:val="false"/>
        </w:trPr>
        <w:tc>
          <w:tcPr>
            <w:tcW w:type="dxa" w:w="299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لجان منبثقة عن المجلس</w:t>
            </w:r>
          </w:p>
        </w:tc>
        <w:tc>
          <w:tcPr>
            <w:tcW w:type="dxa" w:w="636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لجنة المراجعة · لجنة المخاطر والالتزام</w:t>
            </w:r>
          </w:p>
        </w:tc>
      </w:tr>
      <w:tr>
        <w:trPr>
          <w:tblHeader w:val="false"/>
        </w:trPr>
        <w:tc>
          <w:tcPr>
            <w:tcW w:type="dxa" w:w="299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الإدارة التنفيذية</w:t>
            </w:r>
          </w:p>
        </w:tc>
        <w:tc>
          <w:tcPr>
            <w:tcW w:type="dxa" w:w="63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</w:tr>
      <w:tr>
        <w:trPr>
          <w:tblHeader w:val="false"/>
        </w:trPr>
        <w:tc>
          <w:tcPr>
            <w:tcW w:type="dxa" w:w="299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القطاعات التابعة للرئيس التنفيذي</w:t>
            </w:r>
          </w:p>
        </w:tc>
        <w:tc>
          <w:tcPr>
            <w:tcW w:type="dxa" w:w="636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الهندسة والتطوير · العمليات السحابية والبنية التحتية · إدارة المنتجات · المالية · الموارد البشرية · الأمن السيبراني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ترتبط الإدارة المعنية بالأمن السيبراني بالرئيس التنفيذي مباشرة، ولا تتبع إدارة الهندسة والتطوير ولا إدارة العمليات السحابية، تفادياً لتعارض المصالح.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٤.١ تشكيل إدارة الأمن السيبراني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088"/>
        <w:gridCol w:w="2011"/>
        <w:gridCol w:w="5261"/>
      </w:tblGrid>
      <w:tr>
        <w:trPr>
          <w:tblHeader/>
        </w:trPr>
        <w:tc>
          <w:tcPr>
            <w:tcW w:type="dxa" w:w="208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الوحدة</w:t>
            </w:r>
          </w:p>
        </w:tc>
        <w:tc>
          <w:tcPr>
            <w:tcW w:type="dxa" w:w="201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  <w:tc>
          <w:tcPr>
            <w:tcW w:type="dxa" w:w="526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نطاق المسؤولية</w:t>
            </w:r>
          </w:p>
        </w:tc>
      </w:tr>
      <w:tr>
        <w:trPr>
          <w:tblHeader w:val="false"/>
        </w:trPr>
        <w:tc>
          <w:tcPr>
            <w:tcW w:type="dxa" w:w="20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الحوكمة والمخاطر والالتزام</w:t>
            </w:r>
          </w:p>
        </w:tc>
        <w:tc>
          <w:tcPr>
            <w:tcW w:type="dxa" w:w="20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526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السياسات، تقييم المخاطر، الالتزام التنظيمي، متطلبات العملاء التعاقدية</w:t>
            </w:r>
          </w:p>
        </w:tc>
      </w:tr>
      <w:tr>
        <w:trPr>
          <w:tblHeader w:val="false"/>
        </w:trPr>
        <w:tc>
          <w:tcPr>
            <w:tcW w:type="dxa" w:w="20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مركز العمليات الأمنية</w:t>
            </w:r>
          </w:p>
        </w:tc>
        <w:tc>
          <w:tcPr>
            <w:tcW w:type="dxa" w:w="20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</w:t>
            </w:r>
          </w:p>
        </w:tc>
        <w:tc>
          <w:tcPr>
            <w:tcW w:type="dxa" w:w="526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المراقبة على مدار الساعة، تحليل السجلات، الاستجابة الأولية للحوادث</w:t>
            </w:r>
          </w:p>
        </w:tc>
      </w:tr>
      <w:tr>
        <w:trPr>
          <w:tblHeader w:val="false"/>
        </w:trPr>
        <w:tc>
          <w:tcPr>
            <w:tcW w:type="dxa" w:w="20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أمن التطبيقات</w:t>
            </w:r>
          </w:p>
        </w:tc>
        <w:tc>
          <w:tcPr>
            <w:tcW w:type="dxa" w:w="20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526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الكود المصدري، أمن خطوط النشر، نمذجة التهديدات</w:t>
            </w:r>
          </w:p>
        </w:tc>
      </w:tr>
      <w:tr>
        <w:trPr>
          <w:tblHeader w:val="false"/>
        </w:trPr>
        <w:tc>
          <w:tcPr>
            <w:tcW w:type="dxa" w:w="208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أمن السحابة والبنية التحتية</w:t>
            </w:r>
          </w:p>
        </w:tc>
        <w:tc>
          <w:tcPr>
            <w:tcW w:type="dxa" w:w="201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526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صلابة الإعدادات، إدارة الثغرات</w:t>
            </w:r>
          </w:p>
        </w:tc>
      </w:tr>
      <w:tr>
        <w:trPr>
          <w:tblHeader w:val="false"/>
        </w:trPr>
        <w:tc>
          <w:tcPr>
            <w:tcW w:type="dxa" w:w="208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رئاسة الإدارة</w:t>
            </w:r>
          </w:p>
        </w:tc>
        <w:tc>
          <w:tcPr>
            <w:tcW w:type="dxa" w:w="201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526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الإشراف العام والارتباط بالإدارة التنفيذية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٥. البيئة التقنية</w:t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٥.١ الاستضافة والبنية التحتية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317"/>
        <w:gridCol w:w="4724"/>
        <w:gridCol w:w="2319"/>
      </w:tblGrid>
      <w:tr>
        <w:trPr>
          <w:tblHeader/>
        </w:trPr>
        <w:tc>
          <w:tcPr>
            <w:tcW w:type="dxa" w:w="231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المكوّن</w:t>
            </w:r>
          </w:p>
        </w:tc>
        <w:tc>
          <w:tcPr>
            <w:tcW w:type="dxa" w:w="472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الوصف</w:t>
            </w:r>
          </w:p>
        </w:tc>
        <w:tc>
          <w:tcPr>
            <w:tcW w:type="dxa" w:w="231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التصنيف</w:t>
            </w:r>
          </w:p>
        </w:tc>
      </w:tr>
      <w:tr>
        <w:trPr>
          <w:tblHeader w:val="false"/>
        </w:trPr>
        <w:tc>
          <w:tcPr>
            <w:tcW w:type="dxa" w:w="23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مركز البيانات الرئيسي</w:t>
            </w:r>
          </w:p>
        </w:tc>
        <w:tc>
          <w:tcPr>
            <w:tcW w:type="dxa" w:w="472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مملوك للشركة، الرياض — يستضيف أنظمة الإنتاج</w:t>
            </w:r>
          </w:p>
        </w:tc>
        <w:tc>
          <w:tcPr>
            <w:tcW w:type="dxa" w:w="231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حرج جداً</w:t>
            </w:r>
          </w:p>
        </w:tc>
      </w:tr>
      <w:tr>
        <w:trPr>
          <w:tblHeader w:val="false"/>
        </w:trPr>
        <w:tc>
          <w:tcPr>
            <w:tcW w:type="dxa" w:w="23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موقع التعافي من الكوارث</w:t>
            </w:r>
          </w:p>
        </w:tc>
        <w:tc>
          <w:tcPr>
            <w:tcW w:type="dxa" w:w="472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جدة — نسخ متزامن للأنظمة الحساسة</w:t>
            </w:r>
          </w:p>
        </w:tc>
        <w:tc>
          <w:tcPr>
            <w:tcW w:type="dxa" w:w="231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حرج جداً</w:t>
            </w:r>
          </w:p>
        </w:tc>
      </w:tr>
      <w:tr>
        <w:trPr>
          <w:tblHeader w:val="false"/>
        </w:trPr>
        <w:tc>
          <w:tcPr>
            <w:tcW w:type="dxa" w:w="23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الاشتراك السحابي العام</w:t>
            </w:r>
          </w:p>
        </w:tc>
        <w:tc>
          <w:tcPr>
            <w:tcW w:type="dxa" w:w="472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منطقة السعودية — بيئات الاختبار وجزء من أحمال الإنتاج</w:t>
            </w:r>
          </w:p>
        </w:tc>
        <w:tc>
          <w:tcPr>
            <w:tcW w:type="dxa" w:w="231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حرج</w:t>
            </w:r>
          </w:p>
        </w:tc>
      </w:tr>
      <w:tr>
        <w:trPr>
          <w:tblHeader w:val="false"/>
        </w:trPr>
        <w:tc>
          <w:tcPr>
            <w:tcW w:type="dxa" w:w="231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منصة الحاويات</w:t>
            </w:r>
          </w:p>
        </w:tc>
        <w:tc>
          <w:tcPr>
            <w:tcW w:type="dxa" w:w="472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Kubernetes — تشغيل الخدمات المصغّرة</w:t>
            </w:r>
          </w:p>
        </w:tc>
        <w:tc>
          <w:tcPr>
            <w:tcW w:type="dxa" w:w="231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حرج</w:t>
            </w:r>
          </w:p>
        </w:tc>
      </w:tr>
      <w:tr>
        <w:trPr>
          <w:tblHeader w:val="false"/>
        </w:trPr>
        <w:tc>
          <w:tcPr>
            <w:tcW w:type="dxa" w:w="231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بوابة الواجهات البرمجية</w:t>
            </w:r>
          </w:p>
        </w:tc>
        <w:tc>
          <w:tcPr>
            <w:tcW w:type="dxa" w:w="472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نقطة الدخول الموحدة لجميع التكاملات الخارجية</w:t>
            </w:r>
          </w:p>
        </w:tc>
        <w:tc>
          <w:tcPr>
            <w:tcW w:type="dxa" w:w="231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حرج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٥.٢ بيئة التطوير والنشر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427"/>
        <w:gridCol w:w="5933"/>
      </w:tblGrid>
      <w:tr>
        <w:trPr>
          <w:tblHeader/>
        </w:trPr>
        <w:tc>
          <w:tcPr>
            <w:tcW w:type="dxa" w:w="342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المكوّن</w:t>
            </w:r>
          </w:p>
        </w:tc>
        <w:tc>
          <w:tcPr>
            <w:tcW w:type="dxa" w:w="593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الوصف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مستودعات الكود المصدري</w:t>
            </w:r>
          </w:p>
        </w:tc>
        <w:tc>
          <w:tcPr>
            <w:tcW w:type="dxa" w:w="59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الكود المصدري لـ ٢٣ نظاماً والمكتبات الداخلية</w:t>
            </w:r>
          </w:p>
        </w:tc>
      </w:tr>
      <w:tr>
        <w:trPr>
          <w:tblHeader w:val="false"/>
        </w:trPr>
        <w:tc>
          <w:tcPr>
            <w:tcW w:type="dxa" w:w="342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خطوط البناء والنشر الآلي</w:t>
            </w:r>
          </w:p>
        </w:tc>
        <w:tc>
          <w:tcPr>
            <w:tcW w:type="dxa" w:w="593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البناء والنشر الآلي إلى بيئة الإنتاج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البنية التحتية ككود</w:t>
            </w:r>
          </w:p>
        </w:tc>
        <w:tc>
          <w:tcPr>
            <w:tcW w:type="dxa" w:w="59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إنشاء وتعديل الموارد السحابية آلياً</w:t>
            </w:r>
          </w:p>
        </w:tc>
      </w:tr>
      <w:tr>
        <w:trPr>
          <w:tblHeader w:val="false"/>
        </w:trPr>
        <w:tc>
          <w:tcPr>
            <w:tcW w:type="dxa" w:w="342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مستودع الحزم الداخلي</w:t>
            </w:r>
          </w:p>
        </w:tc>
        <w:tc>
          <w:tcPr>
            <w:tcW w:type="dxa" w:w="593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الحزم والصور المعتمدة للاستخدام</w:t>
            </w:r>
          </w:p>
        </w:tc>
      </w:tr>
      <w:tr>
        <w:trPr>
          <w:tblHeader w:val="false"/>
        </w:trPr>
        <w:tc>
          <w:tcPr>
            <w:tcW w:type="dxa" w:w="342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بيئات العمل</w:t>
            </w:r>
          </w:p>
        </w:tc>
        <w:tc>
          <w:tcPr>
            <w:tcW w:type="dxa" w:w="59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تطوير · اختبار · ما قبل الإنتاج · إنتاج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٥.٣ البيانات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362"/>
        <w:gridCol w:w="4634"/>
        <w:gridCol w:w="2364"/>
      </w:tblGrid>
      <w:tr>
        <w:trPr>
          <w:tblHeader/>
        </w:trPr>
        <w:tc>
          <w:tcPr>
            <w:tcW w:type="dxa" w:w="236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نوع البيانات</w:t>
            </w:r>
          </w:p>
        </w:tc>
        <w:tc>
          <w:tcPr>
            <w:tcW w:type="dxa" w:w="463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الوصف</w:t>
            </w:r>
          </w:p>
        </w:tc>
        <w:tc>
          <w:tcPr>
            <w:tcW w:type="dxa" w:w="236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التصنيف</w:t>
            </w:r>
          </w:p>
        </w:tc>
      </w:tr>
      <w:tr>
        <w:trPr>
          <w:tblHeader w:val="false"/>
        </w:trPr>
        <w:tc>
          <w:tcPr>
            <w:tcW w:type="dxa" w:w="236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بيانات المستفيدين</w:t>
            </w:r>
          </w:p>
        </w:tc>
        <w:tc>
          <w:tcPr>
            <w:tcW w:type="dxa" w:w="46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بيانات هوية واتصال ومعاملات لمستفيدي الجهات العميلة</w:t>
            </w:r>
          </w:p>
        </w:tc>
        <w:tc>
          <w:tcPr>
            <w:tcW w:type="dxa" w:w="236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سري جداً</w:t>
            </w:r>
          </w:p>
        </w:tc>
      </w:tr>
      <w:tr>
        <w:trPr>
          <w:tblHeader w:val="false"/>
        </w:trPr>
        <w:tc>
          <w:tcPr>
            <w:tcW w:type="dxa" w:w="236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بيانات المدفوعات</w:t>
            </w:r>
          </w:p>
        </w:tc>
        <w:tc>
          <w:tcPr>
            <w:tcW w:type="dxa" w:w="46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مراجع المعاملات وسجلات التحصيل</w:t>
            </w:r>
          </w:p>
        </w:tc>
        <w:tc>
          <w:tcPr>
            <w:tcW w:type="dxa" w:w="236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سري جداً</w:t>
            </w:r>
          </w:p>
        </w:tc>
      </w:tr>
      <w:tr>
        <w:trPr>
          <w:tblHeader w:val="false"/>
        </w:trPr>
        <w:tc>
          <w:tcPr>
            <w:tcW w:type="dxa" w:w="236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الكود المصدري</w:t>
            </w:r>
          </w:p>
        </w:tc>
        <w:tc>
          <w:tcPr>
            <w:tcW w:type="dxa" w:w="46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الملكية الفكرية للشركة وللجهات العميلة</w:t>
            </w:r>
          </w:p>
        </w:tc>
        <w:tc>
          <w:tcPr>
            <w:tcW w:type="dxa" w:w="236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سري</w:t>
            </w:r>
          </w:p>
        </w:tc>
      </w:tr>
      <w:tr>
        <w:trPr>
          <w:tblHeader w:val="false"/>
        </w:trPr>
        <w:tc>
          <w:tcPr>
            <w:tcW w:type="dxa" w:w="236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بيانات الموظفين</w:t>
            </w:r>
          </w:p>
        </w:tc>
        <w:tc>
          <w:tcPr>
            <w:tcW w:type="dxa" w:w="46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بيانات ٧٨٠ موظفاً</w:t>
            </w:r>
          </w:p>
        </w:tc>
        <w:tc>
          <w:tcPr>
            <w:tcW w:type="dxa" w:w="236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سري</w:t>
            </w:r>
          </w:p>
        </w:tc>
      </w:tr>
      <w:tr>
        <w:trPr>
          <w:tblHeader w:val="false"/>
        </w:trPr>
        <w:tc>
          <w:tcPr>
            <w:tcW w:type="dxa" w:w="236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سجلات التشغيل</w:t>
            </w:r>
          </w:p>
        </w:tc>
        <w:tc>
          <w:tcPr>
            <w:tcW w:type="dxa" w:w="46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سجلات الأنظمة والمراقبة الأمنية</w:t>
            </w:r>
          </w:p>
        </w:tc>
        <w:tc>
          <w:tcPr>
            <w:tcW w:type="dxa" w:w="236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داخلي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3"/>
        <w:bidi/>
        <w:spacing w:after="90" w:before="200" w:line="300"/>
        <w:jc w:val="start"/>
      </w:pPr>
      <w:r>
        <w:rPr>
          <w:rFonts w:ascii="Arial" w:cs="Arial" w:eastAsia="Arial" w:hAnsi="Arial"/>
          <w:b/>
          <w:bCs/>
          <w:color w:val="0C1F3D"/>
          <w:sz w:val="23"/>
          <w:szCs w:val="23"/>
          <w:rtl/>
        </w:rPr>
        <w:t xml:space="preserve">٥.٤ التكاملات الخارجية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ترتبط أنظمة الشركة بمنصة الدخول الوطني الموحد، وبوابات الدفع المعتمدة، وخدمات التحقق من الهوية، والأنظمة الداخلية للجهات العميلة.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٦. الأطراف الخارجية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782"/>
        <w:gridCol w:w="4384"/>
        <w:gridCol w:w="2194"/>
      </w:tblGrid>
      <w:tr>
        <w:trPr>
          <w:tblHeader/>
        </w:trPr>
        <w:tc>
          <w:tcPr>
            <w:tcW w:type="dxa" w:w="278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الطرف</w:t>
            </w:r>
          </w:p>
        </w:tc>
        <w:tc>
          <w:tcPr>
            <w:tcW w:type="dxa" w:w="438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نطاق الخدمة</w:t>
            </w:r>
          </w:p>
        </w:tc>
        <w:tc>
          <w:tcPr>
            <w:tcW w:type="dxa" w:w="21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مستوى الخطر</w:t>
            </w:r>
          </w:p>
        </w:tc>
      </w:tr>
      <w:tr>
        <w:trPr>
          <w:tblHeader w:val="false"/>
        </w:trPr>
        <w:tc>
          <w:tcPr>
            <w:tcW w:type="dxa" w:w="278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مزود الخدمات السحابية</w:t>
            </w:r>
          </w:p>
        </w:tc>
        <w:tc>
          <w:tcPr>
            <w:tcW w:type="dxa" w:w="438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استضافة بيئات الاختبار وجزء من الإنتاج</w:t>
            </w:r>
          </w:p>
        </w:tc>
        <w:tc>
          <w:tcPr>
            <w:tcW w:type="dxa" w:w="21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عالٍ</w:t>
            </w:r>
          </w:p>
        </w:tc>
      </w:tr>
      <w:tr>
        <w:trPr>
          <w:tblHeader w:val="false"/>
        </w:trPr>
        <w:tc>
          <w:tcPr>
            <w:tcW w:type="dxa" w:w="278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المورّدون الفرعيون (أكثر من ٤٠)</w:t>
            </w:r>
          </w:p>
        </w:tc>
        <w:tc>
          <w:tcPr>
            <w:tcW w:type="dxa" w:w="438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مكتبات مفتوحة المصدر وخدمات برمجية مدمجة في المنتجات</w:t>
            </w:r>
          </w:p>
        </w:tc>
        <w:tc>
          <w:tcPr>
            <w:tcW w:type="dxa" w:w="21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عالٍ</w:t>
            </w:r>
          </w:p>
        </w:tc>
      </w:tr>
      <w:tr>
        <w:trPr>
          <w:tblHeader w:val="false"/>
        </w:trPr>
        <w:tc>
          <w:tcPr>
            <w:tcW w:type="dxa" w:w="278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شركات التعاقد على الكوادر التقنية</w:t>
            </w:r>
          </w:p>
        </w:tc>
        <w:tc>
          <w:tcPr>
            <w:tcW w:type="dxa" w:w="438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مطوّرون متعاقدون لهم صلاحية الوصول إلى الكود المصدري</w:t>
            </w:r>
          </w:p>
        </w:tc>
        <w:tc>
          <w:tcPr>
            <w:tcW w:type="dxa" w:w="21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عالٍ</w:t>
            </w:r>
          </w:p>
        </w:tc>
      </w:tr>
      <w:tr>
        <w:trPr>
          <w:tblHeader w:val="false"/>
        </w:trPr>
        <w:tc>
          <w:tcPr>
            <w:tcW w:type="dxa" w:w="278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مزود خدمات مراقبة الشبكة</w:t>
            </w:r>
          </w:p>
        </w:tc>
        <w:tc>
          <w:tcPr>
            <w:tcW w:type="dxa" w:w="438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أدوات مراقبة الأداء والتوافر</w:t>
            </w:r>
          </w:p>
        </w:tc>
        <w:tc>
          <w:tcPr>
            <w:tcW w:type="dxa" w:w="21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متوسط</w:t>
            </w:r>
          </w:p>
        </w:tc>
      </w:tr>
      <w:tr>
        <w:trPr>
          <w:tblHeader w:val="false"/>
        </w:trPr>
        <w:tc>
          <w:tcPr>
            <w:tcW w:type="dxa" w:w="278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شركة التدقيق الخارجي</w:t>
            </w:r>
          </w:p>
        </w:tc>
        <w:tc>
          <w:tcPr>
            <w:tcW w:type="dxa" w:w="438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التدقيق المالي وتدقيق الالتزام</w:t>
            </w:r>
          </w:p>
        </w:tc>
        <w:tc>
          <w:tcPr>
            <w:tcW w:type="dxa" w:w="21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متوسط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٧. الوضع الراهن للأمن السيبراني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894"/>
        <w:gridCol w:w="6466"/>
      </w:tblGrid>
      <w:tr>
        <w:trPr>
          <w:tblHeader/>
        </w:trPr>
        <w:tc>
          <w:tcPr>
            <w:tcW w:type="dxa" w:w="289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المجال</w:t>
            </w:r>
          </w:p>
        </w:tc>
        <w:tc>
          <w:tcPr>
            <w:tcW w:type="dxa" w:w="646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الوضع الراهن</w:t>
            </w:r>
          </w:p>
        </w:tc>
      </w:tr>
      <w:tr>
        <w:trPr>
          <w:tblHeader w:val="false"/>
        </w:trPr>
        <w:tc>
          <w:tcPr>
            <w:tcW w:type="dxa" w:w="28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استراتيجية الأمن السيبراني</w:t>
            </w:r>
          </w:p>
        </w:tc>
        <w:tc>
          <w:tcPr>
            <w:tcW w:type="dxa" w:w="64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غير موجودة</w:t>
            </w:r>
          </w:p>
        </w:tc>
      </w:tr>
      <w:tr>
        <w:trPr>
          <w:tblHeader w:val="false"/>
        </w:trPr>
        <w:tc>
          <w:tcPr>
            <w:tcW w:type="dxa" w:w="28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السياسات والإجراءات</w:t>
            </w:r>
          </w:p>
        </w:tc>
        <w:tc>
          <w:tcPr>
            <w:tcW w:type="dxa" w:w="64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صفحات متفرقة في مرجع داخلي منذ ٢٠٢٠، غير معتمدة وغير مراجَعة</w:t>
            </w:r>
          </w:p>
        </w:tc>
      </w:tr>
      <w:tr>
        <w:trPr>
          <w:tblHeader w:val="false"/>
        </w:trPr>
        <w:tc>
          <w:tcPr>
            <w:tcW w:type="dxa" w:w="28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المخاطر</w:t>
            </w:r>
          </w:p>
        </w:tc>
        <w:tc>
          <w:tcPr>
            <w:tcW w:type="dxa" w:w="64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يوجد سجل مخاطر ولا منهجية معتمدة</w:t>
            </w:r>
          </w:p>
        </w:tc>
      </w:tr>
      <w:tr>
        <w:trPr>
          <w:tblHeader w:val="false"/>
        </w:trPr>
        <w:tc>
          <w:tcPr>
            <w:tcW w:type="dxa" w:w="28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الأصول</w:t>
            </w:r>
          </w:p>
        </w:tc>
        <w:tc>
          <w:tcPr>
            <w:tcW w:type="dxa" w:w="64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الجرد لا يغطي الأصول السحابية ولا الحاويات</w:t>
            </w:r>
          </w:p>
        </w:tc>
      </w:tr>
      <w:tr>
        <w:trPr>
          <w:tblHeader w:val="false"/>
        </w:trPr>
        <w:tc>
          <w:tcPr>
            <w:tcW w:type="dxa" w:w="28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الأسرار وبيانات الاعتماد</w:t>
            </w:r>
          </w:p>
        </w:tc>
        <w:tc>
          <w:tcPr>
            <w:tcW w:type="dxa" w:w="64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بيانات اعتماد مخزّنة داخل مستودعات الكود المصدري</w:t>
            </w:r>
          </w:p>
        </w:tc>
      </w:tr>
      <w:tr>
        <w:trPr>
          <w:tblHeader w:val="false"/>
        </w:trPr>
        <w:tc>
          <w:tcPr>
            <w:tcW w:type="dxa" w:w="28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الهويات والصلاحيات</w:t>
            </w:r>
          </w:p>
        </w:tc>
        <w:tc>
          <w:tcPr>
            <w:tcW w:type="dxa" w:w="64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حسابات إدارية مشتركة في بيئة الإنتاج، دون مراجعة دورية للصلاحيات</w:t>
            </w:r>
          </w:p>
        </w:tc>
      </w:tr>
      <w:tr>
        <w:trPr>
          <w:tblHeader w:val="false"/>
        </w:trPr>
        <w:tc>
          <w:tcPr>
            <w:tcW w:type="dxa" w:w="28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فصل البيئات</w:t>
            </w:r>
          </w:p>
        </w:tc>
        <w:tc>
          <w:tcPr>
            <w:tcW w:type="dxa" w:w="64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فصل غير مكتمل بين بيئات التطوير والاختبار والإنتاج</w:t>
            </w:r>
          </w:p>
        </w:tc>
      </w:tr>
      <w:tr>
        <w:trPr>
          <w:tblHeader w:val="false"/>
        </w:trPr>
        <w:tc>
          <w:tcPr>
            <w:tcW w:type="dxa" w:w="28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أمن التطبيقات</w:t>
            </w:r>
          </w:p>
        </w:tc>
        <w:tc>
          <w:tcPr>
            <w:tcW w:type="dxa" w:w="64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الفحص الأمني للكود مفعّل على جزء من خطوط النشر</w:t>
            </w:r>
          </w:p>
        </w:tc>
      </w:tr>
      <w:tr>
        <w:trPr>
          <w:tblHeader w:val="false"/>
        </w:trPr>
        <w:tc>
          <w:tcPr>
            <w:tcW w:type="dxa" w:w="28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اختبار الاختراق</w:t>
            </w:r>
          </w:p>
        </w:tc>
        <w:tc>
          <w:tcPr>
            <w:tcW w:type="dxa" w:w="64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يوجد برنامج منتظم</w:t>
            </w:r>
          </w:p>
        </w:tc>
      </w:tr>
      <w:tr>
        <w:trPr>
          <w:tblHeader w:val="false"/>
        </w:trPr>
        <w:tc>
          <w:tcPr>
            <w:tcW w:type="dxa" w:w="28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الحوادث</w:t>
            </w:r>
          </w:p>
        </w:tc>
        <w:tc>
          <w:tcPr>
            <w:tcW w:type="dxa" w:w="64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توجد خطة استجابة موثقة ولا تمارين محاكاة</w:t>
            </w:r>
          </w:p>
        </w:tc>
      </w:tr>
      <w:tr>
        <w:trPr>
          <w:tblHeader w:val="false"/>
        </w:trPr>
        <w:tc>
          <w:tcPr>
            <w:tcW w:type="dxa" w:w="289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الأطراف الخارجية</w:t>
            </w:r>
          </w:p>
        </w:tc>
        <w:tc>
          <w:tcPr>
            <w:tcW w:type="dxa" w:w="646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لا تتضمن عقود المورّدين الفرعيين متطلبات أمن سيبراني</w:t>
            </w:r>
          </w:p>
        </w:tc>
      </w:tr>
      <w:tr>
        <w:trPr>
          <w:tblHeader w:val="false"/>
        </w:trPr>
        <w:tc>
          <w:tcPr>
            <w:tcW w:type="dxa" w:w="289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السجلات والمراقبة</w:t>
            </w:r>
          </w:p>
        </w:tc>
        <w:tc>
          <w:tcPr>
            <w:tcW w:type="dxa" w:w="646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مركز العمليات الأمنية يعمل على مدار الساعة بتغطية غير مكتملة للأصول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تقدير ذاتي أولي: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قدّرت الشركة التزامها بالضوابط الأساسية بنحو ٢٧% قبل إجراء التقييم التفصيلي. وأظهر التقييم اللاحق الموثّق في تقرير الالتزام العام CS-ASM-005 نسبة فعلية قدرها ١٩%، ومستوى نضج ١.٦ من ٥.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أعلى المخاطر المُقدَّرة على الشركة هو اختراق سلسلة الإمداد البرمجية، حيث يمكن لمكتبة مفتوحة المصدر مصابة أن تنتقل عبر خطوط النشر الآلي إلى الأنظمة الثلاثة والعشرين دفعةً واحدة.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٨. أصحاب الأدوار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295"/>
        <w:gridCol w:w="3355"/>
        <w:gridCol w:w="3710"/>
      </w:tblGrid>
      <w:tr>
        <w:trPr>
          <w:tblHeader/>
        </w:trPr>
        <w:tc>
          <w:tcPr>
            <w:tcW w:type="dxa" w:w="229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335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المنصب</w:t>
            </w:r>
          </w:p>
        </w:tc>
        <w:tc>
          <w:tcPr>
            <w:tcW w:type="dxa" w:w="371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المسؤولية</w:t>
            </w:r>
          </w:p>
        </w:tc>
      </w:tr>
      <w:tr>
        <w:trPr>
          <w:tblHeader w:val="false"/>
        </w:trPr>
        <w:tc>
          <w:tcPr>
            <w:tcW w:type="dxa" w:w="229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</w:t>
            </w:r>
          </w:p>
        </w:tc>
        <w:tc>
          <w:tcPr>
            <w:tcW w:type="dxa" w:w="335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  <w:tc>
          <w:tcPr>
            <w:tcW w:type="dxa" w:w="371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صاحب الصلاحية ومعتمِد الوثائق الحاكمة</w:t>
            </w:r>
          </w:p>
        </w:tc>
      </w:tr>
      <w:tr>
        <w:trPr>
          <w:tblHeader w:val="false"/>
        </w:trPr>
        <w:tc>
          <w:tcPr>
            <w:tcW w:type="dxa" w:w="229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</w:t>
            </w:r>
          </w:p>
        </w:tc>
        <w:tc>
          <w:tcPr>
            <w:tcW w:type="dxa" w:w="335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رئيس الأمن السيبراني</w:t>
            </w:r>
          </w:p>
        </w:tc>
        <w:tc>
          <w:tcPr>
            <w:tcW w:type="dxa" w:w="371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الإشراف على تطبيق الضوابط ومتابعة الالتزام</w:t>
            </w:r>
          </w:p>
        </w:tc>
      </w:tr>
      <w:tr>
        <w:trPr>
          <w:tblHeader w:val="false"/>
        </w:trPr>
        <w:tc>
          <w:tcPr>
            <w:tcW w:type="dxa" w:w="229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طلال الحربي</w:t>
            </w:r>
          </w:p>
        </w:tc>
        <w:tc>
          <w:tcPr>
            <w:tcW w:type="dxa" w:w="335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الهندسة والتطوير</w:t>
            </w:r>
          </w:p>
        </w:tc>
        <w:tc>
          <w:tcPr>
            <w:tcW w:type="dxa" w:w="371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ضوابط أمن التطبيقات وخطوط النشر</w:t>
            </w:r>
          </w:p>
        </w:tc>
      </w:tr>
      <w:tr>
        <w:trPr>
          <w:tblHeader w:val="false"/>
        </w:trPr>
        <w:tc>
          <w:tcPr>
            <w:tcW w:type="dxa" w:w="229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عمر البلوي</w:t>
            </w:r>
          </w:p>
        </w:tc>
        <w:tc>
          <w:tcPr>
            <w:tcW w:type="dxa" w:w="335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العمليات السحابية والبنية التحتية</w:t>
            </w:r>
          </w:p>
        </w:tc>
        <w:tc>
          <w:tcPr>
            <w:tcW w:type="dxa" w:w="371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ضوابط الشبكات والأصول والبيئة السحابية</w:t>
            </w:r>
          </w:p>
        </w:tc>
      </w:tr>
      <w:tr>
        <w:trPr>
          <w:tblHeader w:val="false"/>
        </w:trPr>
        <w:tc>
          <w:tcPr>
            <w:tcW w:type="dxa" w:w="229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لمياء القحطاني</w:t>
            </w:r>
          </w:p>
        </w:tc>
        <w:tc>
          <w:tcPr>
            <w:tcW w:type="dxa" w:w="335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الموارد البشرية</w:t>
            </w:r>
          </w:p>
        </w:tc>
        <w:tc>
          <w:tcPr>
            <w:tcW w:type="dxa" w:w="371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ضوابط الأمن السيبراني في الموارد البشرية</w:t>
            </w:r>
          </w:p>
        </w:tc>
      </w:tr>
      <w:tr>
        <w:trPr>
          <w:tblHeader w:val="false"/>
        </w:trPr>
        <w:tc>
          <w:tcPr>
            <w:tcW w:type="dxa" w:w="229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خالد المطيري</w:t>
            </w:r>
          </w:p>
        </w:tc>
        <w:tc>
          <w:tcPr>
            <w:tcW w:type="dxa" w:w="335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مدير المراجعة الداخلية</w:t>
            </w:r>
          </w:p>
        </w:tc>
        <w:tc>
          <w:tcPr>
            <w:tcW w:type="dxa" w:w="371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المراجعة والتدقيق الدوري المستقل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٩. 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داخلي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CS-DOC-001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داخلي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CS-DOC-001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CS-DOC-001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2026-10-04T11:47:57.969Z</dcterms:created>
  <dcterms:modified xsi:type="dcterms:W3CDTF">2026-10-04T11:47:57.978Z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