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وثيقة حاكمة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نطاق التطبيق ومنهجية العمل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مشروع تطبيق الضوابط الأساسية للأمن السيبراني ECC-2:2024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داخلي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CS-DOC-002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نطاق العمل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«داخلي».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نطاق التطبيق ومنهجية العمل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١. 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الوثيقة نطاق تطبيق الضوابط الأساسية للأمن السيبراني ECC-2:2024 في شركة نَسَق للحلول الرقمية، والمنهجية المعتمدة لتقييم الالتزام وتوثيق الأدلة، وقواعد إعداد الوثائق واعتمادها. وتُعدّ مرجعاً حاكماً لجميع مخرجات المشروع.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٢. 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97"/>
        <w:gridCol w:w="1931"/>
        <w:gridCol w:w="4532"/>
      </w:tblGrid>
      <w:tr>
        <w:trPr>
          <w:tblHeader/>
        </w:trPr>
        <w:tc>
          <w:tcPr>
            <w:tcW w:type="dxa" w:w="28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الوثيقة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الرمز</w:t>
            </w:r>
          </w:p>
        </w:tc>
        <w:tc>
          <w:tcPr>
            <w:tcW w:type="dxa" w:w="45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الأساسية للأمن السيبراني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</w:t>
            </w:r>
          </w:p>
        </w:tc>
        <w:tc>
          <w:tcPr>
            <w:tcW w:type="dxa" w:w="45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الإطار الملزِم — نصوص الضوابط التي يُقاس عليها الالتزام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الدليل الإرشادي لتطبيق الضوابط الأساسية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GECC-2:2026</w:t>
            </w:r>
          </w:p>
        </w:tc>
        <w:tc>
          <w:tcPr>
            <w:tcW w:type="dxa" w:w="45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 التفسيري — إرشادات التطبيق والمخرجات المتوقعة لكل ضابط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يُقاس الالتزام بنص الضابط الوارد في ECC-2:2024، وتُستمد قائمة الأدلة المطلوبة من قسم «المخرجات المتوقعة» في الدليل الإرشادي.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٣. حجم الإطار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301"/>
        <w:gridCol w:w="3059"/>
      </w:tblGrid>
      <w:tr>
        <w:trPr>
          <w:tblHeader/>
        </w:trPr>
        <w:tc>
          <w:tcPr>
            <w:tcW w:type="dxa" w:w="63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 الرئيسي</w:t>
            </w:r>
          </w:p>
        </w:tc>
        <w:tc>
          <w:tcPr>
            <w:tcW w:type="dxa" w:w="305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عدد المكونات الفرعية</w:t>
            </w:r>
          </w:p>
        </w:tc>
      </w:tr>
      <w:tr>
        <w:trPr>
          <w:tblHeader w:val="false"/>
        </w:trPr>
        <w:tc>
          <w:tcPr>
            <w:tcW w:type="dxa" w:w="63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 — حوكمة الأمن السيبراني</w:t>
            </w:r>
          </w:p>
        </w:tc>
        <w:tc>
          <w:tcPr>
            <w:tcW w:type="dxa" w:w="30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</w:t>
            </w:r>
          </w:p>
        </w:tc>
      </w:tr>
      <w:tr>
        <w:trPr>
          <w:tblHeader w:val="false"/>
        </w:trPr>
        <w:tc>
          <w:tcPr>
            <w:tcW w:type="dxa" w:w="63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 — تعزيز الأمن السيبراني</w:t>
            </w:r>
          </w:p>
        </w:tc>
        <w:tc>
          <w:tcPr>
            <w:tcW w:type="dxa" w:w="30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</w:t>
            </w:r>
          </w:p>
        </w:tc>
      </w:tr>
      <w:tr>
        <w:trPr>
          <w:tblHeader w:val="false"/>
        </w:trPr>
        <w:tc>
          <w:tcPr>
            <w:tcW w:type="dxa" w:w="63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 — صمود الأمن السيبراني</w:t>
            </w:r>
          </w:p>
        </w:tc>
        <w:tc>
          <w:tcPr>
            <w:tcW w:type="dxa" w:w="30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63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 — الأمن السيبراني المتعلق بالأطراف الخارجية والحوسبة السحابية</w:t>
            </w:r>
          </w:p>
        </w:tc>
        <w:tc>
          <w:tcPr>
            <w:tcW w:type="dxa" w:w="30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</w:tr>
      <w:tr>
        <w:trPr>
          <w:tblHeader w:val="false"/>
        </w:trPr>
        <w:tc>
          <w:tcPr>
            <w:tcW w:type="dxa" w:w="63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30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٢٨ مكوّناً فرعياً · ١٠٨ ضوابط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٤. النطاق التنظيمي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يسري هذا المشروع على جميع إدارات الشركة وموظفيها ومتعاقديها، وعلى المقر الرئيسي بالرياض، ومركز البيانات الرئيسي، وموقع التعافي من الكوارث بجدة.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٥. النطاق التقني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مشمول في النطاق</w:t>
            </w:r>
          </w:p>
        </w:tc>
        <w:tc>
          <w:tcPr>
            <w:tcW w:type="dxa" w:w="4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خارج النطاق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الأصول المعلوماتية والتقنية المملوكة أو المُدارة للشركة</w:t>
            </w:r>
          </w:p>
        </w:tc>
        <w:tc>
          <w:tcPr>
            <w:tcW w:type="dxa" w:w="4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الأصول المملوكة للجهات العميلة والخاضعة لإدارتها المباشرة</w:t>
            </w:r>
          </w:p>
        </w:tc>
      </w:tr>
      <w:tr>
        <w:trPr>
          <w:tblHeader w:val="false"/>
        </w:trPr>
        <w:tc>
          <w:tcPr>
            <w:tcW w:type="dxa" w:w="48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أنظمة الإنتاج الثلاثة والعشرون المستضافة لدى الشركة</w:t>
            </w:r>
          </w:p>
        </w:tc>
        <w:tc>
          <w:tcPr>
            <w:tcW w:type="dxa" w:w="4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البنية التحتية الداخلية للجهات العميلة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الاشتراكات السحابية وبيئات الحاويات</w:t>
            </w:r>
          </w:p>
        </w:tc>
        <w:tc>
          <w:tcPr>
            <w:tcW w:type="dxa" w:w="4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8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مستودعات الكود المصدري وخطوط البناء والنشر</w:t>
            </w:r>
          </w:p>
        </w:tc>
        <w:tc>
          <w:tcPr>
            <w:tcW w:type="dxa" w:w="4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بيئات التطوير والاختبار وما قبل الإنتاج</w:t>
            </w:r>
          </w:p>
        </w:tc>
        <w:tc>
          <w:tcPr>
            <w:tcW w:type="dxa" w:w="4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8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الشبكات وأجهزة المستخدمين والأجهزة المحمولة</w:t>
            </w:r>
          </w:p>
        </w:tc>
        <w:tc>
          <w:tcPr>
            <w:tcW w:type="dxa" w:w="4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البيانات بجميع تصنيفاتها</w:t>
            </w:r>
          </w:p>
        </w:tc>
        <w:tc>
          <w:tcPr>
            <w:tcW w:type="dxa" w:w="4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8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الأصول التي تديرها أطراف خارجية نيابةً عن الشركة</w:t>
            </w:r>
          </w:p>
        </w:tc>
        <w:tc>
          <w:tcPr>
            <w:tcW w:type="dxa" w:w="4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٦. الأطر التنظيمية المتقاطعة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97"/>
        <w:gridCol w:w="2441"/>
        <w:gridCol w:w="4722"/>
      </w:tblGrid>
      <w:tr>
        <w:trPr>
          <w:tblHeader/>
        </w:trPr>
        <w:tc>
          <w:tcPr>
            <w:tcW w:type="dxa" w:w="21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الإطار</w:t>
            </w:r>
          </w:p>
        </w:tc>
        <w:tc>
          <w:tcPr>
            <w:tcW w:type="dxa" w:w="244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الجهة</w:t>
            </w:r>
          </w:p>
        </w:tc>
        <w:tc>
          <w:tcPr>
            <w:tcW w:type="dxa" w:w="472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نطاق الانطباق على الشركة</w:t>
            </w:r>
          </w:p>
        </w:tc>
      </w:tr>
      <w:tr>
        <w:trPr>
          <w:tblHeader w:val="false"/>
        </w:trPr>
        <w:tc>
          <w:tcPr>
            <w:tcW w:type="dxa" w:w="21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</w:t>
            </w:r>
          </w:p>
        </w:tc>
        <w:tc>
          <w:tcPr>
            <w:tcW w:type="dxa" w:w="244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الهيئة الوطنية للأمن السيبراني</w:t>
            </w:r>
          </w:p>
        </w:tc>
        <w:tc>
          <w:tcPr>
            <w:tcW w:type="dxa" w:w="47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الإطار الأساسي لهذا المشروع</w:t>
            </w:r>
          </w:p>
        </w:tc>
      </w:tr>
      <w:tr>
        <w:trPr>
          <w:tblHeader w:val="false"/>
        </w:trPr>
        <w:tc>
          <w:tcPr>
            <w:tcW w:type="dxa" w:w="21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CCC-1:2020</w:t>
            </w:r>
          </w:p>
        </w:tc>
        <w:tc>
          <w:tcPr>
            <w:tcW w:type="dxa" w:w="244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الهيئة الوطنية للأمن السيبراني</w:t>
            </w:r>
          </w:p>
        </w:tc>
        <w:tc>
          <w:tcPr>
            <w:tcW w:type="dxa" w:w="47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الاشتراكات السحابية، وخدمات الشركة بصفتها مقدّم خدمة</w:t>
            </w:r>
          </w:p>
        </w:tc>
      </w:tr>
      <w:tr>
        <w:trPr>
          <w:tblHeader w:val="false"/>
        </w:trPr>
        <w:tc>
          <w:tcPr>
            <w:tcW w:type="dxa" w:w="21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CSCC-1:2019</w:t>
            </w:r>
          </w:p>
        </w:tc>
        <w:tc>
          <w:tcPr>
            <w:tcW w:type="dxa" w:w="244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الهيئة الوطنية للأمن السيبراني</w:t>
            </w:r>
          </w:p>
        </w:tc>
        <w:tc>
          <w:tcPr>
            <w:tcW w:type="dxa" w:w="47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الأنظمة الستة المصنّفة حساسة</w:t>
            </w:r>
          </w:p>
        </w:tc>
      </w:tr>
      <w:tr>
        <w:trPr>
          <w:tblHeader w:val="false"/>
        </w:trPr>
        <w:tc>
          <w:tcPr>
            <w:tcW w:type="dxa" w:w="21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حماية البيانات الشخصية</w:t>
            </w:r>
          </w:p>
        </w:tc>
        <w:tc>
          <w:tcPr>
            <w:tcW w:type="dxa" w:w="244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سدايا</w:t>
            </w:r>
          </w:p>
        </w:tc>
        <w:tc>
          <w:tcPr>
            <w:tcW w:type="dxa" w:w="47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المستفيدين وبيانات الموظفين</w:t>
            </w:r>
          </w:p>
        </w:tc>
      </w:tr>
      <w:tr>
        <w:trPr>
          <w:tblHeader w:val="false"/>
        </w:trPr>
        <w:tc>
          <w:tcPr>
            <w:tcW w:type="dxa" w:w="21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المتطلبات التعاقدية</w:t>
            </w:r>
          </w:p>
        </w:tc>
        <w:tc>
          <w:tcPr>
            <w:tcW w:type="dxa" w:w="244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الجهات العميلة</w:t>
            </w:r>
          </w:p>
        </w:tc>
        <w:tc>
          <w:tcPr>
            <w:tcW w:type="dxa" w:w="47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متطلبات أمن سيبراني مفروضة على الشركة بصفتها طرفاً خارجياً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٧. مراحل العمل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295"/>
        <w:gridCol w:w="3443"/>
        <w:gridCol w:w="3622"/>
      </w:tblGrid>
      <w:tr>
        <w:trPr>
          <w:tblHeader/>
        </w:trPr>
        <w:tc>
          <w:tcPr>
            <w:tcW w:type="dxa" w:w="22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34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362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المخرج</w:t>
            </w:r>
          </w:p>
        </w:tc>
      </w:tr>
      <w:tr>
        <w:trPr>
          <w:tblHeader w:val="false"/>
        </w:trPr>
        <w:tc>
          <w:tcPr>
            <w:tcW w:type="dxa" w:w="2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الأولى</w:t>
            </w:r>
          </w:p>
        </w:tc>
        <w:tc>
          <w:tcPr>
            <w:tcW w:type="dxa" w:w="34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الفجوة لجميع الضوابط</w:t>
            </w:r>
          </w:p>
        </w:tc>
        <w:tc>
          <w:tcPr>
            <w:tcW w:type="dxa" w:w="3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جدول تقييم الفجوة ونسبة الالتزام المبدئية</w:t>
            </w:r>
          </w:p>
        </w:tc>
      </w:tr>
      <w:tr>
        <w:trPr>
          <w:tblHeader w:val="false"/>
        </w:trPr>
        <w:tc>
          <w:tcPr>
            <w:tcW w:type="dxa" w:w="2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الثانية</w:t>
            </w:r>
          </w:p>
        </w:tc>
        <w:tc>
          <w:tcPr>
            <w:tcW w:type="dxa" w:w="34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أولويات المعالجة وجدولتها</w:t>
            </w:r>
          </w:p>
        </w:tc>
        <w:tc>
          <w:tcPr>
            <w:tcW w:type="dxa" w:w="3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المعالجة وخارطة الطريق</w:t>
            </w:r>
          </w:p>
        </w:tc>
      </w:tr>
      <w:tr>
        <w:trPr>
          <w:tblHeader w:val="false"/>
        </w:trPr>
        <w:tc>
          <w:tcPr>
            <w:tcW w:type="dxa" w:w="2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الثالثة</w:t>
            </w:r>
          </w:p>
        </w:tc>
        <w:tc>
          <w:tcPr>
            <w:tcW w:type="dxa" w:w="34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التنفيذ وإنتاج الوثائق والسجلات والأدلة</w:t>
            </w:r>
          </w:p>
        </w:tc>
        <w:tc>
          <w:tcPr>
            <w:tcW w:type="dxa" w:w="3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السياسات والإجراءات والسجلات</w:t>
            </w:r>
          </w:p>
        </w:tc>
      </w:tr>
      <w:tr>
        <w:trPr>
          <w:tblHeader w:val="false"/>
        </w:trPr>
        <w:tc>
          <w:tcPr>
            <w:tcW w:type="dxa" w:w="2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الرابعة</w:t>
            </w:r>
          </w:p>
        </w:tc>
        <w:tc>
          <w:tcPr>
            <w:tcW w:type="dxa" w:w="34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التقييم وقياس الأثر</w:t>
            </w:r>
          </w:p>
        </w:tc>
        <w:tc>
          <w:tcPr>
            <w:tcW w:type="dxa" w:w="3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الالتزام النهائي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يُنفَّذ العمل في المرحلة الثالثة على مستوى المكوّن الفرعي لا على مستوى الضابط المفرد، لأن ضوابط المكوّن الفرعي الواحد تشترك في المخرج ذاته.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٨. مقياس تقييم الالتزام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التعريف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الوزن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مطبَّق وموثّق ومعتمد، ويوجد دليل قابل للتحقق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في جزء من النطاق، أو ينقصه الاعتماد أو الدليل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٥٠%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تطبيق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منطبق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ينطبق على طبيعة عمل الشركة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مستثنى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تُحسب نسبة الالتزام بقسمة مجموع أوزان الضوابط المطبَّقة كلياً وجزئياً على إجمالي الضوابط بعد استبعاد غير المنطبق منها.</w:t>
      </w:r>
    </w:p>
    <w:tbl>
      <w:tblPr>
        <w:bidiVisual/>
        <w:tblW w:type="dxa" w:w="9360"/>
        <w:tblBorders>
          <w:top w:val="none"/>
          <w:left w:val="none"/>
          <w:bottom w:val="none"/>
          <w:right w:val="single" w:color="15325C" w:sz="1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5325C" w:sz="18"/>
            </w:tcBorders>
            <w:shd w:fill="F2F7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0C1F3D"/>
                <w:sz w:val="20"/>
                <w:szCs w:val="20"/>
                <w:rtl/>
              </w:rPr>
              <w:t xml:space="preserve">لا يُصنَّف أي ضابط «غير منطبق» إلا بتبرير موثّق ومعتمد من رئيس الأمن السيبراني، ويُدرَج التبرير في سجل الاستثناءات.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٩. معايير قبول الأدلة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637"/>
        <w:gridCol w:w="3723"/>
      </w:tblGrid>
      <w:tr>
        <w:trPr>
          <w:tblHeader/>
        </w:trPr>
        <w:tc>
          <w:tcPr>
            <w:tcW w:type="dxa" w:w="56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يُقبل كدليل</w:t>
            </w:r>
          </w:p>
        </w:tc>
        <w:tc>
          <w:tcPr>
            <w:tcW w:type="dxa" w:w="372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لا يُقبل كدليل</w:t>
            </w:r>
          </w:p>
        </w:tc>
      </w:tr>
      <w:tr>
        <w:trPr>
          <w:tblHeader w:val="false"/>
        </w:trPr>
        <w:tc>
          <w:tcPr>
            <w:tcW w:type="dxa" w:w="56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معتمدة تحمل توقيع صاحب الصلاحية وتاريخ الاعتماد</w:t>
            </w:r>
          </w:p>
        </w:tc>
        <w:tc>
          <w:tcPr>
            <w:tcW w:type="dxa" w:w="37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مسودة غير معتمدة</w:t>
            </w:r>
          </w:p>
        </w:tc>
      </w:tr>
      <w:tr>
        <w:trPr>
          <w:tblHeader w:val="false"/>
        </w:trPr>
        <w:tc>
          <w:tcPr>
            <w:tcW w:type="dxa" w:w="56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أو تقرير مستخرج من نظام مع تاريخ الاستخراج</w:t>
            </w:r>
          </w:p>
        </w:tc>
        <w:tc>
          <w:tcPr>
            <w:tcW w:type="dxa" w:w="37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إفادة شفهية أو وصف لإجراء غير موثّق</w:t>
            </w:r>
          </w:p>
        </w:tc>
      </w:tr>
      <w:tr>
        <w:trPr>
          <w:tblHeader w:val="false"/>
        </w:trPr>
        <w:tc>
          <w:tcPr>
            <w:tcW w:type="dxa" w:w="56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لقطة إعدادات من النظام مع تحديد مصدرها</w:t>
            </w:r>
          </w:p>
        </w:tc>
        <w:tc>
          <w:tcPr>
            <w:tcW w:type="dxa" w:w="37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لقطة بلا مرجع أو تاريخ</w:t>
            </w:r>
          </w:p>
        </w:tc>
      </w:tr>
      <w:tr>
        <w:trPr>
          <w:tblHeader w:val="false"/>
        </w:trPr>
        <w:tc>
          <w:tcPr>
            <w:tcW w:type="dxa" w:w="56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محضر اجتماع أو قرار إداري موقّع</w:t>
            </w:r>
          </w:p>
        </w:tc>
        <w:tc>
          <w:tcPr>
            <w:tcW w:type="dxa" w:w="37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رسالة بريد داخلية دون قرار</w:t>
            </w:r>
          </w:p>
        </w:tc>
      </w:tr>
      <w:tr>
        <w:trPr>
          <w:tblHeader w:val="false"/>
        </w:trPr>
        <w:tc>
          <w:tcPr>
            <w:tcW w:type="dxa" w:w="56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عقد أو ملحق موقّع من الطرفين</w:t>
            </w:r>
          </w:p>
        </w:tc>
        <w:tc>
          <w:tcPr>
            <w:tcW w:type="dxa" w:w="37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مسودة عقد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١٠. ترقيم الوثائق وتصنيفها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البادئة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نوع الوثيقة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CS-DOC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عامة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CS-STR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CS-PRO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تقني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CS-TPL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نموذج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CS-EVD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دليل التزام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تصنيفات الوثائق المعتمدة في الشركة: عام · داخلي · سري · سري جداً.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١١. دورة حياة الوثيقة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تمر كل وثيقة حاكمة بأربع مراحل: الإعداد، ثم المراجعة من الجهة المختصة، ثم الاعتماد من صاحب الصلاحية، ثم التعميم على المعنيين. وتحمل كل وثيقة رقم إصدار وتاريخ اعتماد واسم مالكها وتاريخ مراجعتها القادمة.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الوثائق الحاكمة سنوياً على الأقل، وكذلك عند حدوث تغيير جوهري في الشركة أو في المتطلبات التشريعية والتنظيمية، أو عقب وقوع حادثة سيبرانية ذات أثر جوهري.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الوثيقة التي لم تُعتمد من صاحب الصلاحية لا تُحتسب دليل التزام.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١٢. الأدوار والمسؤوليات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297"/>
        <w:gridCol w:w="6063"/>
      </w:tblGrid>
      <w:tr>
        <w:trPr>
          <w:tblHeader/>
        </w:trPr>
        <w:tc>
          <w:tcPr>
            <w:tcW w:type="dxa" w:w="32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60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المسؤولية</w:t>
            </w:r>
          </w:p>
        </w:tc>
      </w:tr>
      <w:tr>
        <w:trPr>
          <w:tblHeader w:val="false"/>
        </w:trPr>
        <w:tc>
          <w:tcPr>
            <w:tcW w:type="dxa" w:w="32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60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الوثائق الحاكمة ودعم تطبيق الضوابط</w:t>
            </w:r>
          </w:p>
        </w:tc>
      </w:tr>
      <w:tr>
        <w:trPr>
          <w:tblHeader w:val="false"/>
        </w:trPr>
        <w:tc>
          <w:tcPr>
            <w:tcW w:type="dxa" w:w="32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60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ملكية المشروع، واعتماد التقييم، والمصادقة على الاستثناءات</w:t>
            </w:r>
          </w:p>
        </w:tc>
      </w:tr>
      <w:tr>
        <w:trPr>
          <w:tblHeader w:val="false"/>
        </w:trPr>
        <w:tc>
          <w:tcPr>
            <w:tcW w:type="dxa" w:w="32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60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التقييم، وإعداد الوثائق، وجمع الأدلة وحفظها</w:t>
            </w:r>
          </w:p>
        </w:tc>
      </w:tr>
      <w:tr>
        <w:trPr>
          <w:tblHeader w:val="false"/>
        </w:trPr>
        <w:tc>
          <w:tcPr>
            <w:tcW w:type="dxa" w:w="32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مديرو الإدارات المعنية</w:t>
            </w:r>
          </w:p>
        </w:tc>
        <w:tc>
          <w:tcPr>
            <w:tcW w:type="dxa" w:w="60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الإجراءات ضمن نطاق إداراتهم وتوفير الأدلة</w:t>
            </w:r>
          </w:p>
        </w:tc>
      </w:tr>
      <w:tr>
        <w:trPr>
          <w:tblHeader w:val="false"/>
        </w:trPr>
        <w:tc>
          <w:tcPr>
            <w:tcW w:type="dxa" w:w="32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الداخلية</w:t>
            </w:r>
          </w:p>
        </w:tc>
        <w:tc>
          <w:tcPr>
            <w:tcW w:type="dxa" w:w="60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المستقل من صحة التقييم واكتمال الأدلة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١٣. 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CS-DOC-002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CS-DOC-002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CS-DOC-002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2026-10-04T11:47:58.204Z</dcterms:created>
  <dcterms:modified xsi:type="dcterms:W3CDTF">2026-10-04T11:47:58.204Z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