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خطة تنفيذية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خطة المعالجة وخارطة الطريق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١٨ شهراً · ٤ مراحل · ٢٣ حزمة عمل · ١٠٨ ضوابط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CS-PLN-001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الإطار كاملاً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خطة المعالجة وخارطة الطريق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تحدد هذه الوثيقة خطة معالجة الفجوات التي أظهرها تقييم الالتزام بالضوابط الأساسية للأمن السيبراني ECC-2:2024 في شركة نَسَق للحلول الرقمية، وتوزّعها على مراحل زمنية وحزم عمل محددة المخرجات والمالكين، وتقدّر أثرها على نسبة الالتزام.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المرجعية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610"/>
        <w:gridCol w:w="5750"/>
      </w:tblGrid>
      <w:tr>
        <w:trPr>
          <w:tblHeader/>
        </w:trPr>
        <w:tc>
          <w:tcPr>
            <w:tcW w:type="dxa" w:w="361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575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361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خط الأساس</w:t>
            </w:r>
          </w:p>
        </w:tc>
        <w:tc>
          <w:tcPr>
            <w:tcW w:type="dxa" w:w="57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تقرير الالتزام العام CS-ASM-005</w:t>
            </w:r>
          </w:p>
        </w:tc>
      </w:tr>
      <w:tr>
        <w:trPr>
          <w:tblHeader w:val="false"/>
        </w:trPr>
        <w:tc>
          <w:tcPr>
            <w:tcW w:type="dxa" w:w="361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الالتزام عند خط الأساس</w:t>
            </w:r>
          </w:p>
        </w:tc>
        <w:tc>
          <w:tcPr>
            <w:tcW w:type="dxa" w:w="575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١٩%</w:t>
            </w:r>
          </w:p>
        </w:tc>
      </w:tr>
      <w:tr>
        <w:trPr>
          <w:tblHeader w:val="false"/>
        </w:trPr>
        <w:tc>
          <w:tcPr>
            <w:tcW w:type="dxa" w:w="361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مستوى النضج عند خط الأساس</w:t>
            </w:r>
          </w:p>
        </w:tc>
        <w:tc>
          <w:tcPr>
            <w:tcW w:type="dxa" w:w="57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١.٦ من ٥</w:t>
            </w:r>
          </w:p>
        </w:tc>
      </w:tr>
      <w:tr>
        <w:trPr>
          <w:tblHeader w:val="false"/>
        </w:trPr>
        <w:tc>
          <w:tcPr>
            <w:tcW w:type="dxa" w:w="361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الضوابط المشمولة بالخطة</w:t>
            </w:r>
          </w:p>
        </w:tc>
        <w:tc>
          <w:tcPr>
            <w:tcW w:type="dxa" w:w="575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١٠٨</w:t>
            </w:r>
          </w:p>
        </w:tc>
      </w:tr>
      <w:tr>
        <w:trPr>
          <w:tblHeader w:val="false"/>
        </w:trPr>
        <w:tc>
          <w:tcPr>
            <w:tcW w:type="dxa" w:w="361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مدة الخطة</w:t>
            </w:r>
          </w:p>
        </w:tc>
        <w:tc>
          <w:tcPr>
            <w:tcW w:type="dxa" w:w="57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١٨ شهراً</w:t>
            </w:r>
          </w:p>
        </w:tc>
      </w:tr>
      <w:tr>
        <w:trPr>
          <w:tblHeader w:val="false"/>
        </w:trPr>
        <w:tc>
          <w:tcPr>
            <w:tcW w:type="dxa" w:w="361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المنهجية</w:t>
            </w:r>
          </w:p>
        </w:tc>
        <w:tc>
          <w:tcPr>
            <w:tcW w:type="dxa" w:w="575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وثيقة نطاق التطبيق ومنهجية العمل CS-DOC-002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مبادئ ترتيب الأولويات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اعتُمدت أربعة مبادئ في ترتيب معالجة الفجوات: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الخطر القابل للاستغلال فوراً يسبق الخطر الورقي.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الفجوة التي يمكن استغلالها اليوم تُعالَج قبل الفجوة التي تُظهر نقصاً في التوثيق فقط.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الضابط الذي تستند إليه ضوابط أخرى يسبقها.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تصنيف الأصول يسبق حماية البيانات حسب التصنيف، ومنهجية المخاطر تسبق ترتيب بقية الأولويات.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ضوابط المراجعة الدورية تُؤجَّل.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لا معنى لمراجعة دورية لضابط لم يُطبَّق بعد.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الأثر على الجهات العميلة يرفع الأولوية.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الفجوة التي تمتد آثارها إلى الأنظمة الحكومية المستضافة تُعامل بأولوية أعلى من نظيرتها الداخلية.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توزيع الضوابط حسب الأولوية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الأولوية</w:t>
            </w:r>
          </w:p>
        </w:tc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عدد الضوابط</w:t>
            </w:r>
          </w:p>
        </w:tc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النسبة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حرجة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١٥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١٤%</w:t>
            </w:r>
          </w:p>
        </w:tc>
      </w:tr>
      <w:tr>
        <w:trPr>
          <w:tblHeader w:val="false"/>
        </w:trPr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عالية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٣٠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٢٨%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متوسطة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٣٨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٣٥%</w:t>
            </w:r>
          </w:p>
        </w:tc>
      </w:tr>
      <w:tr>
        <w:trPr>
          <w:tblHeader w:val="false"/>
        </w:trPr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منخفضة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٢٤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٢٢%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يتطلب إجراء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١%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مراحل التنفيذ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المرحلة</w:t>
            </w:r>
          </w:p>
        </w:tc>
        <w:tc>
          <w:tcPr>
            <w:tcW w:type="dxa" w:w="18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المسمى</w:t>
            </w:r>
          </w:p>
        </w:tc>
        <w:tc>
          <w:tcPr>
            <w:tcW w:type="dxa" w:w="18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الأشهر</w:t>
            </w:r>
          </w:p>
        </w:tc>
        <w:tc>
          <w:tcPr>
            <w:tcW w:type="dxa" w:w="18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الضوابط</w:t>
            </w:r>
          </w:p>
        </w:tc>
        <w:tc>
          <w:tcPr>
            <w:tcW w:type="dxa" w:w="18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نسبة الالتزام المستهدفة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الأولى</w:t>
            </w:r>
          </w:p>
        </w:tc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الاحتواء العاجل</w:t>
            </w:r>
          </w:p>
        </w:tc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– ٣</w:t>
            </w:r>
          </w:p>
        </w:tc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١٥</w:t>
            </w:r>
          </w:p>
        </w:tc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٣٠%</w:t>
            </w:r>
          </w:p>
        </w:tc>
      </w:tr>
      <w:tr>
        <w:trPr>
          <w:tblHeader w:val="false"/>
        </w:trPr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الثانية</w:t>
            </w:r>
          </w:p>
        </w:tc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التأسيس الحوكمي</w:t>
            </w:r>
          </w:p>
        </w:tc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 – ٨</w:t>
            </w:r>
          </w:p>
        </w:tc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٣٦</w:t>
            </w:r>
          </w:p>
        </w:tc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٥٩%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الثالثة</w:t>
            </w:r>
          </w:p>
        </w:tc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التحصين التقني</w:t>
            </w:r>
          </w:p>
        </w:tc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 – ١٤</w:t>
            </w:r>
          </w:p>
        </w:tc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٣٢</w:t>
            </w:r>
          </w:p>
        </w:tc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٧٩%</w:t>
            </w:r>
          </w:p>
        </w:tc>
      </w:tr>
      <w:tr>
        <w:trPr>
          <w:tblHeader w:val="false"/>
        </w:trPr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الرابعة</w:t>
            </w:r>
          </w:p>
        </w:tc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التمكين والقياس</w:t>
            </w:r>
          </w:p>
        </w:tc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١٣ – ١٨</w:t>
            </w:r>
          </w:p>
        </w:tc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٢٥</w:t>
            </w:r>
          </w:p>
        </w:tc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٩٥% فأكثر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تتداخل المراحل عمداً، لأن حزم العمل الحوكمية تسير بالتوازي مع الحزم التقنية ولا تنتظر اكتمالها.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حزم العمل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المرحلة الأولى — الاحتواء العاجل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131"/>
        <w:gridCol w:w="2960"/>
        <w:gridCol w:w="1131"/>
        <w:gridCol w:w="2394"/>
        <w:gridCol w:w="1744"/>
      </w:tblGrid>
      <w:tr>
        <w:trPr>
          <w:tblHeader/>
        </w:trPr>
        <w:tc>
          <w:tcPr>
            <w:tcW w:type="dxa" w:w="113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الحزمة</w:t>
            </w:r>
          </w:p>
        </w:tc>
        <w:tc>
          <w:tcPr>
            <w:tcW w:type="dxa" w:w="29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النطاق</w:t>
            </w:r>
          </w:p>
        </w:tc>
        <w:tc>
          <w:tcPr>
            <w:tcW w:type="dxa" w:w="113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الضوابط</w:t>
            </w:r>
          </w:p>
        </w:tc>
        <w:tc>
          <w:tcPr>
            <w:tcW w:type="dxa" w:w="23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المخرج الرئيسي</w:t>
            </w:r>
          </w:p>
        </w:tc>
        <w:tc>
          <w:tcPr>
            <w:tcW w:type="dxa" w:w="174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المالك</w:t>
            </w:r>
          </w:p>
        </w:tc>
      </w:tr>
      <w:tr>
        <w:trPr>
          <w:tblHeader w:val="false"/>
        </w:trPr>
        <w:tc>
          <w:tcPr>
            <w:tcW w:type="dxa" w:w="11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WP-01</w:t>
            </w:r>
          </w:p>
        </w:tc>
        <w:tc>
          <w:tcPr>
            <w:tcW w:type="dxa" w:w="29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إزالة الأسرار وبيانات الاعتماد من مستودعات الكود وتدوير المفاتيح المكشوفة</w:t>
            </w:r>
          </w:p>
        </w:tc>
        <w:tc>
          <w:tcPr>
            <w:tcW w:type="dxa" w:w="11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٢-٨-٣</w:t>
            </w:r>
          </w:p>
        </w:tc>
        <w:tc>
          <w:tcPr>
            <w:tcW w:type="dxa" w:w="23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خزنة أسرار مركزية + تقرير تدوير المفاتيح</w:t>
            </w:r>
          </w:p>
        </w:tc>
        <w:tc>
          <w:tcPr>
            <w:tcW w:type="dxa" w:w="174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الهندسة والتطوير</w:t>
            </w:r>
          </w:p>
        </w:tc>
      </w:tr>
      <w:tr>
        <w:trPr>
          <w:tblHeader w:val="false"/>
        </w:trPr>
        <w:tc>
          <w:tcPr>
            <w:tcW w:type="dxa" w:w="11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WP-02</w:t>
            </w:r>
          </w:p>
        </w:tc>
        <w:tc>
          <w:tcPr>
            <w:tcW w:type="dxa" w:w="29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عزل بيئة الإنتاج شبكياً عن بيئتي التطوير والاختبار</w:t>
            </w:r>
          </w:p>
        </w:tc>
        <w:tc>
          <w:tcPr>
            <w:tcW w:type="dxa" w:w="11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٢-٥-٣</w:t>
            </w:r>
          </w:p>
        </w:tc>
        <w:tc>
          <w:tcPr>
            <w:tcW w:type="dxa" w:w="23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تصميم شبكي معتمد + إثبات انقطاع المسارات المباشرة</w:t>
            </w:r>
          </w:p>
        </w:tc>
        <w:tc>
          <w:tcPr>
            <w:tcW w:type="dxa" w:w="174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</w:t>
            </w:r>
          </w:p>
        </w:tc>
      </w:tr>
      <w:tr>
        <w:trPr>
          <w:tblHeader w:val="false"/>
        </w:trPr>
        <w:tc>
          <w:tcPr>
            <w:tcW w:type="dxa" w:w="11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WP-03</w:t>
            </w:r>
          </w:p>
        </w:tc>
        <w:tc>
          <w:tcPr>
            <w:tcW w:type="dxa" w:w="29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إنهاء الحسابات الإدارية المشتركة وإلغاء صلاحيات المتعاقدين المنتهية عقودهم</w:t>
            </w:r>
          </w:p>
        </w:tc>
        <w:tc>
          <w:tcPr>
            <w:tcW w:type="dxa" w:w="11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٢-٢-٢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٢-٢-٣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١-٩-٥</w:t>
            </w:r>
          </w:p>
        </w:tc>
        <w:tc>
          <w:tcPr>
            <w:tcW w:type="dxa" w:w="23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حسابات شخصية بصلاحيات محددة + إجراء إخلاء طرف تقني</w:t>
            </w:r>
          </w:p>
        </w:tc>
        <w:tc>
          <w:tcPr>
            <w:tcW w:type="dxa" w:w="174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 · الموارد البشرية</w:t>
            </w:r>
          </w:p>
        </w:tc>
      </w:tr>
      <w:tr>
        <w:trPr>
          <w:tblHeader w:val="false"/>
        </w:trPr>
        <w:tc>
          <w:tcPr>
            <w:tcW w:type="dxa" w:w="11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WP-04</w:t>
            </w:r>
          </w:p>
        </w:tc>
        <w:tc>
          <w:tcPr>
            <w:tcW w:type="dxa" w:w="29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عزل النسخ الاحتياطية وتنفيذ اختبار تعافٍ فعلي</w:t>
            </w:r>
          </w:p>
        </w:tc>
        <w:tc>
          <w:tcPr>
            <w:tcW w:type="dxa" w:w="11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٢-٩-٣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٣-١-٢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٣-١-٣</w:t>
            </w:r>
          </w:p>
        </w:tc>
        <w:tc>
          <w:tcPr>
            <w:tcW w:type="dxa" w:w="23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نسخ معزولة + تقرير اختبار تحويل الخدمة لموقع التعافي</w:t>
            </w:r>
          </w:p>
        </w:tc>
        <w:tc>
          <w:tcPr>
            <w:tcW w:type="dxa" w:w="174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</w:t>
            </w:r>
          </w:p>
        </w:tc>
      </w:tr>
      <w:tr>
        <w:trPr>
          <w:tblHeader w:val="false"/>
        </w:trPr>
        <w:tc>
          <w:tcPr>
            <w:tcW w:type="dxa" w:w="11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WP-05</w:t>
            </w:r>
          </w:p>
        </w:tc>
        <w:tc>
          <w:tcPr>
            <w:tcW w:type="dxa" w:w="29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خطة الاستجابة للحوادث وآلية الإبلاغ التنظيمي وتمديد حفظ السجلات</w:t>
            </w:r>
          </w:p>
        </w:tc>
        <w:tc>
          <w:tcPr>
            <w:tcW w:type="dxa" w:w="11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٢-١٣-١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٢-١٣-٣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٢-١٢-٣</w:t>
            </w:r>
          </w:p>
        </w:tc>
        <w:tc>
          <w:tcPr>
            <w:tcW w:type="dxa" w:w="23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خطة استجابة معتمدة + إجراء إبلاغ الهيئة + حفظ ١٢ شهراً</w:t>
            </w:r>
          </w:p>
        </w:tc>
        <w:tc>
          <w:tcPr>
            <w:tcW w:type="dxa" w:w="174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</w:tr>
      <w:tr>
        <w:trPr>
          <w:tblHeader w:val="false"/>
        </w:trPr>
        <w:tc>
          <w:tcPr>
            <w:tcW w:type="dxa" w:w="11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WP-06</w:t>
            </w:r>
          </w:p>
        </w:tc>
        <w:tc>
          <w:tcPr>
            <w:tcW w:type="dxa" w:w="29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منهجية إدارة مخاطر الأمن السيبراني وسجل المخاطر</w:t>
            </w:r>
          </w:p>
        </w:tc>
        <w:tc>
          <w:tcPr>
            <w:tcW w:type="dxa" w:w="11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١-٥-١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١-٥-٢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١-٥-٣</w:t>
            </w:r>
          </w:p>
        </w:tc>
        <w:tc>
          <w:tcPr>
            <w:tcW w:type="dxa" w:w="23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منهجية معتمدة + سجل مخاطر + تقييم التغييرات قبل الإطلاق</w:t>
            </w:r>
          </w:p>
        </w:tc>
        <w:tc>
          <w:tcPr>
            <w:tcW w:type="dxa" w:w="174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</w:tr>
      <w:tr>
        <w:trPr>
          <w:tblHeader w:val="false"/>
        </w:trPr>
        <w:tc>
          <w:tcPr>
            <w:tcW w:type="dxa" w:w="11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WP-07</w:t>
            </w:r>
          </w:p>
        </w:tc>
        <w:tc>
          <w:tcPr>
            <w:tcW w:type="dxa" w:w="29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ضبط وصول المورّدين الفرعيين والمطوّرين المتعاقدين</w:t>
            </w:r>
          </w:p>
        </w:tc>
        <w:tc>
          <w:tcPr>
            <w:tcW w:type="dxa" w:w="11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٤-١-٣</w:t>
            </w:r>
          </w:p>
        </w:tc>
        <w:tc>
          <w:tcPr>
            <w:tcW w:type="dxa" w:w="23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تقييم أمني للأطراف + تقييد الوصول للكود المصدري</w:t>
            </w:r>
          </w:p>
        </w:tc>
        <w:tc>
          <w:tcPr>
            <w:tcW w:type="dxa" w:w="174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 · الشؤون القانونية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المرحلة الثانية — التأسيس الحوكمي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048"/>
        <w:gridCol w:w="2057"/>
        <w:gridCol w:w="2743"/>
        <w:gridCol w:w="2259"/>
        <w:gridCol w:w="1253"/>
      </w:tblGrid>
      <w:tr>
        <w:trPr>
          <w:tblHeader/>
        </w:trPr>
        <w:tc>
          <w:tcPr>
            <w:tcW w:type="dxa" w:w="104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الحزمة</w:t>
            </w:r>
          </w:p>
        </w:tc>
        <w:tc>
          <w:tcPr>
            <w:tcW w:type="dxa" w:w="205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النطاق</w:t>
            </w:r>
          </w:p>
        </w:tc>
        <w:tc>
          <w:tcPr>
            <w:tcW w:type="dxa" w:w="274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الضوابط</w:t>
            </w:r>
          </w:p>
        </w:tc>
        <w:tc>
          <w:tcPr>
            <w:tcW w:type="dxa" w:w="225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المخرج الرئيسي</w:t>
            </w:r>
          </w:p>
        </w:tc>
        <w:tc>
          <w:tcPr>
            <w:tcW w:type="dxa" w:w="125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المالك</w:t>
            </w:r>
          </w:p>
        </w:tc>
      </w:tr>
      <w:tr>
        <w:trPr>
          <w:tblHeader w:val="false"/>
        </w:trPr>
        <w:tc>
          <w:tcPr>
            <w:tcW w:type="dxa" w:w="104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WP-08</w:t>
            </w:r>
          </w:p>
        </w:tc>
        <w:tc>
          <w:tcPr>
            <w:tcW w:type="dxa" w:w="205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الاستراتيجية واللجنة الإشرافية والأدوار والمسؤوليات</w:t>
            </w:r>
          </w:p>
        </w:tc>
        <w:tc>
          <w:tcPr>
            <w:tcW w:type="dxa" w:w="27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١-١ كاملاً · ١-٢-٣ · ١-٤ كاملاً</w:t>
            </w:r>
          </w:p>
        </w:tc>
        <w:tc>
          <w:tcPr>
            <w:tcW w:type="dxa" w:w="225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استراتيجية معتمدة + ميثاق اللجنة + مصفوفة مسؤوليات</w:t>
            </w:r>
          </w:p>
        </w:tc>
        <w:tc>
          <w:tcPr>
            <w:tcW w:type="dxa" w:w="12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</w:tr>
      <w:tr>
        <w:trPr>
          <w:tblHeader w:val="false"/>
        </w:trPr>
        <w:tc>
          <w:tcPr>
            <w:tcW w:type="dxa" w:w="104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WP-09</w:t>
            </w:r>
          </w:p>
        </w:tc>
        <w:tc>
          <w:tcPr>
            <w:tcW w:type="dxa" w:w="205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حزمة السياسات والمعايير التقنية والالتزام التشريعي</w:t>
            </w:r>
          </w:p>
        </w:tc>
        <w:tc>
          <w:tcPr>
            <w:tcW w:type="dxa" w:w="27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١-٣ كاملاً · ١-٥-٤ · ١-٧-١</w:t>
            </w:r>
          </w:p>
        </w:tc>
        <w:tc>
          <w:tcPr>
            <w:tcW w:type="dxa" w:w="225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سياسات معتمدة + معايير تحصين + سجل المتطلبات النظامية</w:t>
            </w:r>
          </w:p>
        </w:tc>
        <w:tc>
          <w:tcPr>
            <w:tcW w:type="dxa" w:w="12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</w:tr>
      <w:tr>
        <w:trPr>
          <w:tblHeader w:val="false"/>
        </w:trPr>
        <w:tc>
          <w:tcPr>
            <w:tcW w:type="dxa" w:w="104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WP-10</w:t>
            </w:r>
          </w:p>
        </w:tc>
        <w:tc>
          <w:tcPr>
            <w:tcW w:type="dxa" w:w="205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المراجعة والتدقيق الدوري</w:t>
            </w:r>
          </w:p>
        </w:tc>
        <w:tc>
          <w:tcPr>
            <w:tcW w:type="dxa" w:w="27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١-٨ كاملاً</w:t>
            </w:r>
          </w:p>
        </w:tc>
        <w:tc>
          <w:tcPr>
            <w:tcW w:type="dxa" w:w="225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خطة مراجعة + تقرير تدقيق مستقل + آلية رفع النتائج</w:t>
            </w:r>
          </w:p>
        </w:tc>
        <w:tc>
          <w:tcPr>
            <w:tcW w:type="dxa" w:w="12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المراجعة الداخلية</w:t>
            </w:r>
          </w:p>
        </w:tc>
      </w:tr>
      <w:tr>
        <w:trPr>
          <w:tblHeader w:val="false"/>
        </w:trPr>
        <w:tc>
          <w:tcPr>
            <w:tcW w:type="dxa" w:w="104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WP-11</w:t>
            </w:r>
          </w:p>
        </w:tc>
        <w:tc>
          <w:tcPr>
            <w:tcW w:type="dxa" w:w="205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متطلبات الأمن السيبراني في الموارد البشرية</w:t>
            </w:r>
          </w:p>
        </w:tc>
        <w:tc>
          <w:tcPr>
            <w:tcW w:type="dxa" w:w="27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١-٩-١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١-٩-٢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١-٩-٣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١-٩-٤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١-٩-٦</w:t>
            </w:r>
          </w:p>
        </w:tc>
        <w:tc>
          <w:tcPr>
            <w:tcW w:type="dxa" w:w="225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وثيقة متطلبات + بنود تعاقدية + إجراءات التوظيف والانتهاء</w:t>
            </w:r>
          </w:p>
        </w:tc>
        <w:tc>
          <w:tcPr>
            <w:tcW w:type="dxa" w:w="12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الموارد البشرية</w:t>
            </w:r>
          </w:p>
        </w:tc>
      </w:tr>
      <w:tr>
        <w:trPr>
          <w:tblHeader w:val="false"/>
        </w:trPr>
        <w:tc>
          <w:tcPr>
            <w:tcW w:type="dxa" w:w="104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WP-12</w:t>
            </w:r>
          </w:p>
        </w:tc>
        <w:tc>
          <w:tcPr>
            <w:tcW w:type="dxa" w:w="205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وثائق متطلبات المكوّن الثاني المرجعية</w:t>
            </w:r>
          </w:p>
        </w:tc>
        <w:tc>
          <w:tcPr>
            <w:tcW w:type="dxa" w:w="27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٢-٢-١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٢-٥-١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٢-٧-١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٢-٨-١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٢-٩-١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٢-١٠-١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٢-١١-١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٢-١٢-١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٢-١٣-٢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٢-١٤-١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٢-١٥-١</w:t>
            </w:r>
          </w:p>
        </w:tc>
        <w:tc>
          <w:tcPr>
            <w:tcW w:type="dxa" w:w="225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اثنتا عشرة وثيقة متطلبات معتمدة</w:t>
            </w:r>
          </w:p>
        </w:tc>
        <w:tc>
          <w:tcPr>
            <w:tcW w:type="dxa" w:w="12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</w:tr>
      <w:tr>
        <w:trPr>
          <w:tblHeader w:val="false"/>
        </w:trPr>
        <w:tc>
          <w:tcPr>
            <w:tcW w:type="dxa" w:w="104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WP-13</w:t>
            </w:r>
          </w:p>
        </w:tc>
        <w:tc>
          <w:tcPr>
            <w:tcW w:type="dxa" w:w="205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وثائق الصمود والأطراف الخارجية والحوسبة السحابية</w:t>
            </w:r>
          </w:p>
        </w:tc>
        <w:tc>
          <w:tcPr>
            <w:tcW w:type="dxa" w:w="27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٣-١-١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٤-١-١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٤-١-٢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٤-٢-١</w:t>
            </w:r>
          </w:p>
        </w:tc>
        <w:tc>
          <w:tcPr>
            <w:tcW w:type="dxa" w:w="225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ملحق أمني موحّد للعقود + سياسة الاستخدام السحابي</w:t>
            </w:r>
          </w:p>
        </w:tc>
        <w:tc>
          <w:tcPr>
            <w:tcW w:type="dxa" w:w="12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المرحلة الثالثة — التحصين التقني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044"/>
        <w:gridCol w:w="2490"/>
        <w:gridCol w:w="2048"/>
        <w:gridCol w:w="2731"/>
        <w:gridCol w:w="1047"/>
      </w:tblGrid>
      <w:tr>
        <w:trPr>
          <w:tblHeader/>
        </w:trPr>
        <w:tc>
          <w:tcPr>
            <w:tcW w:type="dxa" w:w="104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الحزمة</w:t>
            </w:r>
          </w:p>
        </w:tc>
        <w:tc>
          <w:tcPr>
            <w:tcW w:type="dxa" w:w="249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النطاق</w:t>
            </w:r>
          </w:p>
        </w:tc>
        <w:tc>
          <w:tcPr>
            <w:tcW w:type="dxa" w:w="204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الضوابط</w:t>
            </w:r>
          </w:p>
        </w:tc>
        <w:tc>
          <w:tcPr>
            <w:tcW w:type="dxa" w:w="273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المخرج الرئيسي</w:t>
            </w:r>
          </w:p>
        </w:tc>
        <w:tc>
          <w:tcPr>
            <w:tcW w:type="dxa" w:w="104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المالك</w:t>
            </w:r>
          </w:p>
        </w:tc>
      </w:tr>
      <w:tr>
        <w:trPr>
          <w:tblHeader w:val="false"/>
        </w:trPr>
        <w:tc>
          <w:tcPr>
            <w:tcW w:type="dxa" w:w="104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WP-14</w:t>
            </w:r>
          </w:p>
        </w:tc>
        <w:tc>
          <w:tcPr>
            <w:tcW w:type="dxa" w:w="24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جرد الأصول وتصنيفها وحماية البيانات حسب التصنيف</w:t>
            </w:r>
          </w:p>
        </w:tc>
        <w:tc>
          <w:tcPr>
            <w:tcW w:type="dxa" w:w="204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٢-١-٣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٢-١-٤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٢-١-٥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٢-٧-٢</w:t>
            </w:r>
          </w:p>
        </w:tc>
        <w:tc>
          <w:tcPr>
            <w:tcW w:type="dxa" w:w="27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أصول شامل + مصفوفة تصنيف + حل منع تسرب البيانات</w:t>
            </w:r>
          </w:p>
        </w:tc>
        <w:tc>
          <w:tcPr>
            <w:tcW w:type="dxa" w:w="104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</w:t>
            </w:r>
          </w:p>
        </w:tc>
      </w:tr>
      <w:tr>
        <w:trPr>
          <w:tblHeader w:val="false"/>
        </w:trPr>
        <w:tc>
          <w:tcPr>
            <w:tcW w:type="dxa" w:w="104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WP-15</w:t>
            </w:r>
          </w:p>
        </w:tc>
        <w:tc>
          <w:tcPr>
            <w:tcW w:type="dxa" w:w="24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توسعة التشفير أثناء التخزين</w:t>
            </w:r>
          </w:p>
        </w:tc>
        <w:tc>
          <w:tcPr>
            <w:tcW w:type="dxa" w:w="204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٢-٨-٢</w:t>
            </w:r>
          </w:p>
        </w:tc>
        <w:tc>
          <w:tcPr>
            <w:tcW w:type="dxa" w:w="27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تشفير قواعد البيانات الثلاث والعشرين + إدارة دورة المفاتيح</w:t>
            </w:r>
          </w:p>
        </w:tc>
        <w:tc>
          <w:tcPr>
            <w:tcW w:type="dxa" w:w="104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</w:t>
            </w:r>
          </w:p>
        </w:tc>
      </w:tr>
      <w:tr>
        <w:trPr>
          <w:tblHeader w:val="false"/>
        </w:trPr>
        <w:tc>
          <w:tcPr>
            <w:tcW w:type="dxa" w:w="104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WP-16</w:t>
            </w:r>
          </w:p>
        </w:tc>
        <w:tc>
          <w:tcPr>
            <w:tcW w:type="dxa" w:w="24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تحصين الأنظمة والبريد والشبكات والأجهزة المحمولة والأمن المادي</w:t>
            </w:r>
          </w:p>
        </w:tc>
        <w:tc>
          <w:tcPr>
            <w:tcW w:type="dxa" w:w="204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٢-٣ · ٢-٤ · ٢-٥-٢ · ٢-٦ · ٢-١٤-٢ · ٢-١٤-٣</w:t>
            </w:r>
          </w:p>
        </w:tc>
        <w:tc>
          <w:tcPr>
            <w:tcW w:type="dxa" w:w="27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معايير تحصين مطبَّقة + إدارة أجهزة محمولة + ضبط الدخول المادي</w:t>
            </w:r>
          </w:p>
        </w:tc>
        <w:tc>
          <w:tcPr>
            <w:tcW w:type="dxa" w:w="104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</w:t>
            </w:r>
          </w:p>
        </w:tc>
      </w:tr>
      <w:tr>
        <w:trPr>
          <w:tblHeader w:val="false"/>
        </w:trPr>
        <w:tc>
          <w:tcPr>
            <w:tcW w:type="dxa" w:w="104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WP-17</w:t>
            </w:r>
          </w:p>
        </w:tc>
        <w:tc>
          <w:tcPr>
            <w:tcW w:type="dxa" w:w="24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الثغرات واختبار الاختراق وأمن تطبيقات الويب</w:t>
            </w:r>
          </w:p>
        </w:tc>
        <w:tc>
          <w:tcPr>
            <w:tcW w:type="dxa" w:w="204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٢-١٠-٢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٢-١٠-٣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٢-١١-٢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٢-١١-٣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٢-١٥-٢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٢-١٥-٣</w:t>
            </w:r>
          </w:p>
        </w:tc>
        <w:tc>
          <w:tcPr>
            <w:tcW w:type="dxa" w:w="27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دورة فحص ومعالجة + اختبار اختراق سنوي + جدار حماية تطبيقات كامل التغطية</w:t>
            </w:r>
          </w:p>
        </w:tc>
        <w:tc>
          <w:tcPr>
            <w:tcW w:type="dxa" w:w="104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الدفاع السيبراني</w:t>
            </w:r>
          </w:p>
        </w:tc>
      </w:tr>
      <w:tr>
        <w:trPr>
          <w:tblHeader w:val="false"/>
        </w:trPr>
        <w:tc>
          <w:tcPr>
            <w:tcW w:type="dxa" w:w="104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WP-18</w:t>
            </w:r>
          </w:p>
        </w:tc>
        <w:tc>
          <w:tcPr>
            <w:tcW w:type="dxa" w:w="24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توسعة جمع السجلات والنسخ الاحتياطية</w:t>
            </w:r>
          </w:p>
        </w:tc>
        <w:tc>
          <w:tcPr>
            <w:tcW w:type="dxa" w:w="204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٢-٩-٢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٢-١٢-٢</w:t>
            </w:r>
          </w:p>
        </w:tc>
        <w:tc>
          <w:tcPr>
            <w:tcW w:type="dxa" w:w="27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تغطية ١٠٠% للأصول الحرجة في جمع السجلات والنسخ</w:t>
            </w:r>
          </w:p>
        </w:tc>
        <w:tc>
          <w:tcPr>
            <w:tcW w:type="dxa" w:w="104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مركز العمليات الأمنية</w:t>
            </w:r>
          </w:p>
        </w:tc>
      </w:tr>
      <w:tr>
        <w:trPr>
          <w:tblHeader w:val="false"/>
        </w:trPr>
        <w:tc>
          <w:tcPr>
            <w:tcW w:type="dxa" w:w="104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WP-19</w:t>
            </w:r>
          </w:p>
        </w:tc>
        <w:tc>
          <w:tcPr>
            <w:tcW w:type="dxa" w:w="24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الأمن السيبراني في إدارة المشاريع وخطوط النشر</w:t>
            </w:r>
          </w:p>
        </w:tc>
        <w:tc>
          <w:tcPr>
            <w:tcW w:type="dxa" w:w="204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١-٦ كاملاً</w:t>
            </w:r>
          </w:p>
        </w:tc>
        <w:tc>
          <w:tcPr>
            <w:tcW w:type="dxa" w:w="27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أمني إلزامي على ٢٣ خط نشر + بوابات جودة أمنية</w:t>
            </w:r>
          </w:p>
        </w:tc>
        <w:tc>
          <w:tcPr>
            <w:tcW w:type="dxa" w:w="104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الهندسة والتطوير</w:t>
            </w:r>
          </w:p>
        </w:tc>
      </w:tr>
      <w:tr>
        <w:trPr>
          <w:tblHeader w:val="false"/>
        </w:trPr>
        <w:tc>
          <w:tcPr>
            <w:tcW w:type="dxa" w:w="104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WP-20</w:t>
            </w:r>
          </w:p>
        </w:tc>
        <w:tc>
          <w:tcPr>
            <w:tcW w:type="dxa" w:w="24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ضبط البيئة السحابية</w:t>
            </w:r>
          </w:p>
        </w:tc>
        <w:tc>
          <w:tcPr>
            <w:tcW w:type="dxa" w:w="204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٤-٢-٢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٤-٢-٣</w:t>
            </w:r>
          </w:p>
        </w:tc>
        <w:tc>
          <w:tcPr>
            <w:tcW w:type="dxa" w:w="27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معيار إعدادات آمنة + مراقبة الانحراف + بند إعادة البيانات</w:t>
            </w:r>
          </w:p>
        </w:tc>
        <w:tc>
          <w:tcPr>
            <w:tcW w:type="dxa" w:w="104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المرحلة الرابعة — التمكين والقياس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187"/>
        <w:gridCol w:w="2008"/>
        <w:gridCol w:w="2191"/>
        <w:gridCol w:w="2237"/>
        <w:gridCol w:w="1737"/>
      </w:tblGrid>
      <w:tr>
        <w:trPr>
          <w:tblHeader/>
        </w:trPr>
        <w:tc>
          <w:tcPr>
            <w:tcW w:type="dxa" w:w="11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الحزمة</w:t>
            </w:r>
          </w:p>
        </w:tc>
        <w:tc>
          <w:tcPr>
            <w:tcW w:type="dxa" w:w="200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النطاق</w:t>
            </w:r>
          </w:p>
        </w:tc>
        <w:tc>
          <w:tcPr>
            <w:tcW w:type="dxa" w:w="219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الضوابط</w:t>
            </w:r>
          </w:p>
        </w:tc>
        <w:tc>
          <w:tcPr>
            <w:tcW w:type="dxa" w:w="223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المخرج الرئيسي</w:t>
            </w:r>
          </w:p>
        </w:tc>
        <w:tc>
          <w:tcPr>
            <w:tcW w:type="dxa" w:w="173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المالك</w:t>
            </w:r>
          </w:p>
        </w:tc>
      </w:tr>
      <w:tr>
        <w:trPr>
          <w:tblHeader w:val="false"/>
        </w:trPr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WP-21</w:t>
            </w:r>
          </w:p>
        </w:tc>
        <w:tc>
          <w:tcPr>
            <w:tcW w:type="dxa" w:w="200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برنامج التوعية والتدريب المتخصص</w:t>
            </w:r>
          </w:p>
        </w:tc>
        <w:tc>
          <w:tcPr>
            <w:tcW w:type="dxa" w:w="219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١-١٠ كاملاً</w:t>
            </w:r>
          </w:p>
        </w:tc>
        <w:tc>
          <w:tcPr>
            <w:tcW w:type="dxa" w:w="22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خطة توعية سنوية + تمارين تصيّد + خطة تدريب الفريق</w:t>
            </w:r>
          </w:p>
        </w:tc>
        <w:tc>
          <w:tcPr>
            <w:tcW w:type="dxa" w:w="17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</w:tr>
      <w:tr>
        <w:trPr>
          <w:tblHeader w:val="false"/>
        </w:trPr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WP-22</w:t>
            </w:r>
          </w:p>
        </w:tc>
        <w:tc>
          <w:tcPr>
            <w:tcW w:type="dxa" w:w="200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توطين وظائف الأمن السيبراني واستدامة الإدارة</w:t>
            </w:r>
          </w:p>
        </w:tc>
        <w:tc>
          <w:tcPr>
            <w:tcW w:type="dxa" w:w="219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١-٢-١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١-٢-٢</w:t>
            </w:r>
          </w:p>
        </w:tc>
        <w:tc>
          <w:tcPr>
            <w:tcW w:type="dxa" w:w="22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خطة إحلال الوظائف المُعهَّدة + توصيف كفاءات معتمد</w:t>
            </w:r>
          </w:p>
        </w:tc>
        <w:tc>
          <w:tcPr>
            <w:tcW w:type="dxa" w:w="17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الموارد البشرية · رئيس الأمن السيبراني</w:t>
            </w:r>
          </w:p>
        </w:tc>
      </w:tr>
      <w:tr>
        <w:trPr>
          <w:tblHeader w:val="false"/>
        </w:trPr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WP-23</w:t>
            </w:r>
          </w:p>
        </w:tc>
        <w:tc>
          <w:tcPr>
            <w:tcW w:type="dxa" w:w="200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تفعيل دورات المراجعة الدورية لجميع المكونات</w:t>
            </w:r>
          </w:p>
        </w:tc>
        <w:tc>
          <w:tcPr>
            <w:tcW w:type="dxa" w:w="219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ثمانية عشر ضابط مراجعة دورية في المكونات الأربعة</w:t>
            </w:r>
          </w:p>
        </w:tc>
        <w:tc>
          <w:tcPr>
            <w:tcW w:type="dxa" w:w="22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جداول مراجعة معتمدة + تقارير الدورة الأولى</w:t>
            </w:r>
          </w:p>
        </w:tc>
        <w:tc>
          <w:tcPr>
            <w:tcW w:type="dxa" w:w="17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الأثر المتوقع على نسبة الالتزام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المحطة</w:t>
            </w:r>
          </w:p>
        </w:tc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الضوابط المغلقة تراكمياً</w:t>
            </w:r>
          </w:p>
        </w:tc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نسبة الالتزام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خط الأساس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١٩%</w:t>
            </w:r>
          </w:p>
        </w:tc>
      </w:tr>
      <w:tr>
        <w:trPr>
          <w:tblHeader w:val="false"/>
        </w:trPr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نهاية المرحلة الأولى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١٥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٣٠%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نهاية المرحلة الثانية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٥١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٥٩%</w:t>
            </w:r>
          </w:p>
        </w:tc>
      </w:tr>
      <w:tr>
        <w:trPr>
          <w:tblHeader w:val="false"/>
        </w:trPr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نهاية المرحلة الثالثة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٨٣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٧٩%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نهاية المرحلة الرابعة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١٠٨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٩٥% فأكثر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single" w:color="15325C" w:sz="1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5325C" w:sz="18"/>
            </w:tcBorders>
            <w:shd w:fill="F2F7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0C1F3D"/>
                <w:sz w:val="20"/>
                <w:szCs w:val="20"/>
                <w:rtl/>
              </w:rPr>
              <w:t xml:space="preserve">ضوابط المراجعة الدورية لا تُغلق فعلياً إلا بعد اكتمال دورة مراجعة واحدة موثّقة. لذلك يُتوقع بلوغ ٩٥% في الشهر الثامن عشر، وبلوغ الالتزام الكامل بعد انقضاء أول دورة مراجعة سنوية.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توزيع الضوابط على المراحل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المكوّن الفرعي</w:t>
            </w:r>
          </w:p>
        </w:tc>
        <w:tc>
          <w:tcPr>
            <w:tcW w:type="dxa" w:w="15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الضوابط</w:t>
            </w:r>
          </w:p>
        </w:tc>
        <w:tc>
          <w:tcPr>
            <w:tcW w:type="dxa" w:w="15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المرحلة ١</w:t>
            </w:r>
          </w:p>
        </w:tc>
        <w:tc>
          <w:tcPr>
            <w:tcW w:type="dxa" w:w="15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المرحلة ٢</w:t>
            </w:r>
          </w:p>
        </w:tc>
        <w:tc>
          <w:tcPr>
            <w:tcW w:type="dxa" w:w="15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المرحلة ٣</w:t>
            </w:r>
          </w:p>
        </w:tc>
        <w:tc>
          <w:tcPr>
            <w:tcW w:type="dxa" w:w="15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المرحلة ٤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١-١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١-٢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١-٣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١-٤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١-٥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١-٦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١-٧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١-٨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١-٩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١-١٠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</w:tr>
      <w:tr>
        <w:trPr>
          <w:tblHeader w:val="false"/>
        </w:trPr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٢-٢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٢-٣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</w:tr>
      <w:tr>
        <w:trPr>
          <w:tblHeader w:val="false"/>
        </w:trPr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٢-٤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٢-٥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</w:tr>
      <w:tr>
        <w:trPr>
          <w:tblHeader w:val="false"/>
        </w:trPr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٢-٦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٢-٧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</w:tr>
      <w:tr>
        <w:trPr>
          <w:tblHeader w:val="false"/>
        </w:trPr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٢-٨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٢-٩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</w:tr>
      <w:tr>
        <w:trPr>
          <w:tblHeader w:val="false"/>
        </w:trPr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٢-١٠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٢-١١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</w:tr>
      <w:tr>
        <w:trPr>
          <w:tblHeader w:val="false"/>
        </w:trPr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٢-١٢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٢-١٣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</w:tr>
      <w:tr>
        <w:trPr>
          <w:tblHeader w:val="false"/>
        </w:trPr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٢-١٤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٢-١٥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</w:tr>
      <w:tr>
        <w:trPr>
          <w:tblHeader w:val="false"/>
        </w:trPr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٣-١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٤-١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</w:tr>
      <w:tr>
        <w:trPr>
          <w:tblHeader w:val="false"/>
        </w:trPr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٤-٢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الإجمالي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١٠٨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١٥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٣٦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٣٢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٢٥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الموارد والميزانية التقديرية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6771"/>
        <w:gridCol w:w="2589"/>
      </w:tblGrid>
      <w:tr>
        <w:trPr>
          <w:tblHeader/>
        </w:trPr>
        <w:tc>
          <w:tcPr>
            <w:tcW w:type="dxa" w:w="677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258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التقدير (مليون ريال)</w:t>
            </w:r>
          </w:p>
        </w:tc>
      </w:tr>
      <w:tr>
        <w:trPr>
          <w:tblHeader w:val="false"/>
        </w:trPr>
        <w:tc>
          <w:tcPr>
            <w:tcW w:type="dxa" w:w="677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حلول وتقنيات: خزنة أسرار، إدارة أجهزة، منع تسرب بيانات، توسعة المراقبة</w:t>
            </w:r>
          </w:p>
        </w:tc>
        <w:tc>
          <w:tcPr>
            <w:tcW w:type="dxa" w:w="258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٩.٥</w:t>
            </w:r>
          </w:p>
        </w:tc>
      </w:tr>
      <w:tr>
        <w:trPr>
          <w:tblHeader w:val="false"/>
        </w:trPr>
        <w:tc>
          <w:tcPr>
            <w:tcW w:type="dxa" w:w="677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خدمات استشارية واختبار اختراق وتدقيق مستقل</w:t>
            </w:r>
          </w:p>
        </w:tc>
        <w:tc>
          <w:tcPr>
            <w:tcW w:type="dxa" w:w="258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٣.٢</w:t>
            </w:r>
          </w:p>
        </w:tc>
      </w:tr>
      <w:tr>
        <w:trPr>
          <w:tblHeader w:val="false"/>
        </w:trPr>
        <w:tc>
          <w:tcPr>
            <w:tcW w:type="dxa" w:w="677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الكوادر البشرية: أربع وظائف إضافية</w:t>
            </w:r>
          </w:p>
        </w:tc>
        <w:tc>
          <w:tcPr>
            <w:tcW w:type="dxa" w:w="258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٤.٨</w:t>
            </w:r>
          </w:p>
        </w:tc>
      </w:tr>
      <w:tr>
        <w:trPr>
          <w:tblHeader w:val="false"/>
        </w:trPr>
        <w:tc>
          <w:tcPr>
            <w:tcW w:type="dxa" w:w="677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التدريب والشهادات الاحترافية</w:t>
            </w:r>
          </w:p>
        </w:tc>
        <w:tc>
          <w:tcPr>
            <w:tcW w:type="dxa" w:w="258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١.١</w:t>
            </w:r>
          </w:p>
        </w:tc>
      </w:tr>
      <w:tr>
        <w:trPr>
          <w:tblHeader w:val="false"/>
        </w:trPr>
        <w:tc>
          <w:tcPr>
            <w:tcW w:type="dxa" w:w="677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الإجمالي على ١٨ شهراً</w:t>
            </w:r>
          </w:p>
        </w:tc>
        <w:tc>
          <w:tcPr>
            <w:tcW w:type="dxa" w:w="258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١٨.٦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مخاطر تنفيذ الخطة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880"/>
        <w:gridCol w:w="2029"/>
        <w:gridCol w:w="4451"/>
      </w:tblGrid>
      <w:tr>
        <w:trPr>
          <w:tblHeader/>
        </w:trPr>
        <w:tc>
          <w:tcPr>
            <w:tcW w:type="dxa" w:w="28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المخاطرة</w:t>
            </w:r>
          </w:p>
        </w:tc>
        <w:tc>
          <w:tcPr>
            <w:tcW w:type="dxa" w:w="202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الأثر</w:t>
            </w:r>
          </w:p>
        </w:tc>
        <w:tc>
          <w:tcPr>
            <w:tcW w:type="dxa" w:w="445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إجراء المعالجة</w:t>
            </w:r>
          </w:p>
        </w:tc>
      </w:tr>
      <w:tr>
        <w:trPr>
          <w:tblHeader w:val="false"/>
        </w:trPr>
        <w:tc>
          <w:tcPr>
            <w:tcW w:type="dxa" w:w="28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مقاومة فرق التطوير لضوابط تبطئ وتيرة الإصدار</w:t>
            </w:r>
          </w:p>
        </w:tc>
        <w:tc>
          <w:tcPr>
            <w:tcW w:type="dxa" w:w="20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تعثّر WP-19 و WP-17</w:t>
            </w:r>
          </w:p>
        </w:tc>
        <w:tc>
          <w:tcPr>
            <w:tcW w:type="dxa" w:w="445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دمج الفحوص الأمنية داخل خطوط النشر آلياً بدل فرضها كخطوات يدوية، وإشراك مدير الهندسة في اللجنة الإشرافية</w:t>
            </w:r>
          </w:p>
        </w:tc>
      </w:tr>
      <w:tr>
        <w:trPr>
          <w:tblHeader w:val="false"/>
        </w:trPr>
        <w:tc>
          <w:tcPr>
            <w:tcW w:type="dxa" w:w="28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انقطاع الخدمة أثناء فصل البيئات</w:t>
            </w:r>
          </w:p>
        </w:tc>
        <w:tc>
          <w:tcPr>
            <w:tcW w:type="dxa" w:w="20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تأخر WP-02 وأثر تعاقدي</w:t>
            </w:r>
          </w:p>
        </w:tc>
        <w:tc>
          <w:tcPr>
            <w:tcW w:type="dxa" w:w="445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التنفيذ في نوافذ صيانة معلنة مع خطة تراجع مختبَرة مسبقاً</w:t>
            </w:r>
          </w:p>
        </w:tc>
      </w:tr>
      <w:tr>
        <w:trPr>
          <w:tblHeader w:val="false"/>
        </w:trPr>
        <w:tc>
          <w:tcPr>
            <w:tcW w:type="dxa" w:w="28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تعارض الملحق الأمني مع عقود مورّدين سارية</w:t>
            </w:r>
          </w:p>
        </w:tc>
        <w:tc>
          <w:tcPr>
            <w:tcW w:type="dxa" w:w="20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تأخر WP-13</w:t>
            </w:r>
          </w:p>
        </w:tc>
        <w:tc>
          <w:tcPr>
            <w:tcW w:type="dxa" w:w="445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تطبيق الملحق على العقود الجديدة والتجديدات أولاً، والتفاوض على الباقي</w:t>
            </w:r>
          </w:p>
        </w:tc>
      </w:tr>
      <w:tr>
        <w:trPr>
          <w:tblHeader w:val="false"/>
        </w:trPr>
        <w:tc>
          <w:tcPr>
            <w:tcW w:type="dxa" w:w="28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صعوبة استقطاب كوادر متخصصة</w:t>
            </w:r>
          </w:p>
        </w:tc>
        <w:tc>
          <w:tcPr>
            <w:tcW w:type="dxa" w:w="20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تأخر المرحلة الثالثة</w:t>
            </w:r>
          </w:p>
        </w:tc>
        <w:tc>
          <w:tcPr>
            <w:tcW w:type="dxa" w:w="445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برنامج تأهيل داخلي والاستعانة بخدمات متخصصة مؤقتة</w:t>
            </w:r>
          </w:p>
        </w:tc>
      </w:tr>
      <w:tr>
        <w:trPr>
          <w:tblHeader w:val="false"/>
        </w:trPr>
        <w:tc>
          <w:tcPr>
            <w:tcW w:type="dxa" w:w="28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تجاوز الميزانية التقديرية</w:t>
            </w:r>
          </w:p>
        </w:tc>
        <w:tc>
          <w:tcPr>
            <w:tcW w:type="dxa" w:w="20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تأخر المرحلتين الثالثة والرابعة</w:t>
            </w:r>
          </w:p>
        </w:tc>
        <w:tc>
          <w:tcPr>
            <w:tcW w:type="dxa" w:w="445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إعادة ترتيب الحزم بناءً على سجل المخاطر لا على تسلسل الخطة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الحوكمة والمتابعة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857"/>
        <w:gridCol w:w="2643"/>
        <w:gridCol w:w="1857"/>
        <w:gridCol w:w="3003"/>
      </w:tblGrid>
      <w:tr>
        <w:trPr>
          <w:tblHeader/>
        </w:trPr>
        <w:tc>
          <w:tcPr>
            <w:tcW w:type="dxa" w:w="185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المستوى</w:t>
            </w:r>
          </w:p>
        </w:tc>
        <w:tc>
          <w:tcPr>
            <w:tcW w:type="dxa" w:w="264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الجهة</w:t>
            </w:r>
          </w:p>
        </w:tc>
        <w:tc>
          <w:tcPr>
            <w:tcW w:type="dxa" w:w="185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الدورية</w:t>
            </w:r>
          </w:p>
        </w:tc>
        <w:tc>
          <w:tcPr>
            <w:tcW w:type="dxa" w:w="300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المحتوى</w:t>
            </w:r>
          </w:p>
        </w:tc>
      </w:tr>
      <w:tr>
        <w:trPr>
          <w:tblHeader w:val="false"/>
        </w:trPr>
        <w:tc>
          <w:tcPr>
            <w:tcW w:type="dxa" w:w="185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استراتيجي</w:t>
            </w:r>
          </w:p>
        </w:tc>
        <w:tc>
          <w:tcPr>
            <w:tcW w:type="dxa" w:w="26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مجلس الإدارة · لجنة المخاطر والالتزام</w:t>
            </w:r>
          </w:p>
        </w:tc>
        <w:tc>
          <w:tcPr>
            <w:tcW w:type="dxa" w:w="185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نصف سنوي</w:t>
            </w:r>
          </w:p>
        </w:tc>
        <w:tc>
          <w:tcPr>
            <w:tcW w:type="dxa" w:w="300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الالتزام ومستوى النضج والمخاطر العليا</w:t>
            </w:r>
          </w:p>
        </w:tc>
      </w:tr>
      <w:tr>
        <w:trPr>
          <w:tblHeader w:val="false"/>
        </w:trPr>
        <w:tc>
          <w:tcPr>
            <w:tcW w:type="dxa" w:w="185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إشرافي</w:t>
            </w:r>
          </w:p>
        </w:tc>
        <w:tc>
          <w:tcPr>
            <w:tcW w:type="dxa" w:w="26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اللجنة الإشرافية للأمن السيبراني</w:t>
            </w:r>
          </w:p>
        </w:tc>
        <w:tc>
          <w:tcPr>
            <w:tcW w:type="dxa" w:w="185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  <w:tc>
          <w:tcPr>
            <w:tcW w:type="dxa" w:w="300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تقدّم حزم العمل ومؤشرات الأداء والعوائق</w:t>
            </w:r>
          </w:p>
        </w:tc>
      </w:tr>
      <w:tr>
        <w:trPr>
          <w:tblHeader w:val="false"/>
        </w:trPr>
        <w:tc>
          <w:tcPr>
            <w:tcW w:type="dxa" w:w="185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تنفيذي</w:t>
            </w:r>
          </w:p>
        </w:tc>
        <w:tc>
          <w:tcPr>
            <w:tcW w:type="dxa" w:w="26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الأمن السيبراني</w:t>
            </w:r>
          </w:p>
        </w:tc>
        <w:tc>
          <w:tcPr>
            <w:tcW w:type="dxa" w:w="185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شهري</w:t>
            </w:r>
          </w:p>
        </w:tc>
        <w:tc>
          <w:tcPr>
            <w:tcW w:type="dxa" w:w="300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حالة المهام والفجوات الحرجة المفتوحة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مؤشرات قياس الأداء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4368"/>
        <w:gridCol w:w="2317"/>
        <w:gridCol w:w="2675"/>
      </w:tblGrid>
      <w:tr>
        <w:trPr>
          <w:tblHeader/>
        </w:trPr>
        <w:tc>
          <w:tcPr>
            <w:tcW w:type="dxa" w:w="436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المؤشر</w:t>
            </w:r>
          </w:p>
        </w:tc>
        <w:tc>
          <w:tcPr>
            <w:tcW w:type="dxa" w:w="231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القيمة عند خط الأساس</w:t>
            </w:r>
          </w:p>
        </w:tc>
        <w:tc>
          <w:tcPr>
            <w:tcW w:type="dxa" w:w="267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المستهدف</w:t>
            </w:r>
          </w:p>
        </w:tc>
      </w:tr>
      <w:tr>
        <w:trPr>
          <w:tblHeader w:val="false"/>
        </w:trPr>
        <w:tc>
          <w:tcPr>
            <w:tcW w:type="dxa" w:w="436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الالتزام بالضوابط الأساسية</w:t>
            </w:r>
          </w:p>
        </w:tc>
        <w:tc>
          <w:tcPr>
            <w:tcW w:type="dxa" w:w="23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١٩%</w:t>
            </w:r>
          </w:p>
        </w:tc>
        <w:tc>
          <w:tcPr>
            <w:tcW w:type="dxa" w:w="267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٩٥% فأكثر</w:t>
            </w:r>
          </w:p>
        </w:tc>
      </w:tr>
      <w:tr>
        <w:trPr>
          <w:tblHeader w:val="false"/>
        </w:trPr>
        <w:tc>
          <w:tcPr>
            <w:tcW w:type="dxa" w:w="436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عدد الفجوات الحرجة المفتوحة</w:t>
            </w:r>
          </w:p>
        </w:tc>
        <w:tc>
          <w:tcPr>
            <w:tcW w:type="dxa" w:w="23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١٥</w:t>
            </w:r>
          </w:p>
        </w:tc>
        <w:tc>
          <w:tcPr>
            <w:tcW w:type="dxa" w:w="267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 خلال ثلاثة أشهر</w:t>
            </w:r>
          </w:p>
        </w:tc>
      </w:tr>
      <w:tr>
        <w:trPr>
          <w:tblHeader w:val="false"/>
        </w:trPr>
        <w:tc>
          <w:tcPr>
            <w:tcW w:type="dxa" w:w="436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الثغرات عالية الخطورة المفتوحة أكثر من ٣٠ يوماً</w:t>
            </w:r>
          </w:p>
        </w:tc>
        <w:tc>
          <w:tcPr>
            <w:tcW w:type="dxa" w:w="23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٣٨</w:t>
            </w:r>
          </w:p>
        </w:tc>
        <w:tc>
          <w:tcPr>
            <w:tcW w:type="dxa" w:w="267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  <w:tr>
        <w:trPr>
          <w:tblHeader w:val="false"/>
        </w:trPr>
        <w:tc>
          <w:tcPr>
            <w:tcW w:type="dxa" w:w="436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الأصول الحرجة المشمولة بجمع السجلات</w:t>
            </w:r>
          </w:p>
        </w:tc>
        <w:tc>
          <w:tcPr>
            <w:tcW w:type="dxa" w:w="23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مقاسة</w:t>
            </w:r>
          </w:p>
        </w:tc>
        <w:tc>
          <w:tcPr>
            <w:tcW w:type="dxa" w:w="267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436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مدة الاحتفاظ بسجلات الأحداث</w:t>
            </w:r>
          </w:p>
        </w:tc>
        <w:tc>
          <w:tcPr>
            <w:tcW w:type="dxa" w:w="23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 أشهر</w:t>
            </w:r>
          </w:p>
        </w:tc>
        <w:tc>
          <w:tcPr>
            <w:tcW w:type="dxa" w:w="267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 شهراً</w:t>
            </w:r>
          </w:p>
        </w:tc>
      </w:tr>
      <w:tr>
        <w:trPr>
          <w:tblHeader w:val="false"/>
        </w:trPr>
        <w:tc>
          <w:tcPr>
            <w:tcW w:type="dxa" w:w="436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الأنظمة المشمولة باختبار اختراق سنوي</w:t>
            </w:r>
          </w:p>
        </w:tc>
        <w:tc>
          <w:tcPr>
            <w:tcW w:type="dxa" w:w="23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٠%</w:t>
            </w:r>
          </w:p>
        </w:tc>
        <w:tc>
          <w:tcPr>
            <w:tcW w:type="dxa" w:w="267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436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عقود الأطراف الخارجية المتضمنة الملحق الأمني</w:t>
            </w:r>
          </w:p>
        </w:tc>
        <w:tc>
          <w:tcPr>
            <w:tcW w:type="dxa" w:w="23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٠%</w:t>
            </w:r>
          </w:p>
        </w:tc>
        <w:tc>
          <w:tcPr>
            <w:tcW w:type="dxa" w:w="267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 للعقود الجديدة والمجدَّدة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CS-PLN-001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CS-PLN-001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CS-PLN-001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2026-10-04T11:47:58.794Z</dcterms:created>
  <dcterms:modified xsi:type="dcterms:W3CDTF">2026-10-04T11:47:58.794Z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