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وثيقة استراتيجية</w:t>
            </w:r>
          </w:p>
          <w:p>
            <w:pPr>
              <w:bidi/>
              <w:spacing w:after="120" w:before="0" w:line="420"/>
              <w:jc w:val="start"/>
            </w:pPr>
            <w:r>
              <w:rPr>
                <w:rFonts w:ascii="Arial" w:cs="Arial" w:eastAsia="Arial" w:hAnsi="Arial"/>
                <w:b/>
                <w:bCs/>
                <w:color w:val="FFFFFF"/>
                <w:sz w:val="52"/>
                <w:szCs w:val="52"/>
                <w:rtl/>
              </w:rPr>
              <w:t xml:space="preserve">استراتيجية الأمن السيبراني</w:t>
            </w:r>
          </w:p>
          <w:p>
            <w:pPr>
              <w:bidi/>
              <w:spacing w:after="260" w:before="0" w:line="300"/>
              <w:jc w:val="start"/>
            </w:pPr>
            <w:r>
              <w:rPr>
                <w:rFonts w:ascii="Arial" w:cs="Arial" w:eastAsia="Arial" w:hAnsi="Arial"/>
                <w:b w:val="false"/>
                <w:bCs w:val="false"/>
                <w:color w:val="AFC4D4"/>
                <w:sz w:val="22"/>
                <w:szCs w:val="22"/>
                <w:rtl/>
              </w:rPr>
              <w:t xml:space="preserve">خمسة أهداف استراتيجية · من ١٩٪ إلى ٩٥٪ خلال ١٨ شهراً</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CS-STR-001</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رئيس الأمن السيبراني</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1-1-1 · 1-1-3</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استراتيجية الأمن السيبراني</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تحدد هذه الاستراتيجية التوجه الذي تسير عليه شركة نَسَق للحلول الرقمية في الأمن السيبراني خلال السنوات الثلاث القادمة، وتربط أهدافها بأهداف الشركة وبالمتطلبات التشريعية والتنظيمية ذات العلاقة، ويُعدّ مخرَجاً من حزمة العمل WP-08.</w:t>
      </w:r>
    </w:p>
    <w:p>
      <w:pPr>
        <w:pStyle w:val="Heading2"/>
        <w:bidi/>
        <w:spacing w:after="120" w:before="280" w:line="300"/>
        <w:jc w:val="start"/>
      </w:pPr>
      <w:r>
        <w:rPr>
          <w:rFonts w:ascii="Arial" w:cs="Arial" w:eastAsia="Arial" w:hAnsi="Arial"/>
          <w:b/>
          <w:bCs/>
          <w:color w:val="15325C"/>
          <w:sz w:val="27"/>
          <w:szCs w:val="27"/>
          <w:rtl/>
        </w:rPr>
        <w:t xml:space="preserve">النطاق</w:t>
      </w:r>
    </w:p>
    <w:p>
      <w:pPr>
        <w:bidi/>
        <w:spacing w:after="140" w:before="0" w:line="300"/>
        <w:jc w:val="start"/>
      </w:pPr>
      <w:r>
        <w:rPr>
          <w:rFonts w:ascii="Arial" w:cs="Arial" w:eastAsia="Arial" w:hAnsi="Arial"/>
          <w:b w:val="false"/>
          <w:bCs w:val="false"/>
          <w:color w:val="16202A"/>
          <w:sz w:val="21"/>
          <w:szCs w:val="21"/>
          <w:rtl/>
        </w:rPr>
        <w:t xml:space="preserve">تسري هذه الاستراتيجية على جميع إدارات الشركة وموظفيها ومتعاقديها، وعلى الأصول المعلوماتية والتقنية كافةً، بما فيها الأنظمة الثلاثة والعشرون المستضافة للجهات العميلة.</w:t>
      </w:r>
    </w:p>
    <w:p>
      <w:pPr>
        <w:pStyle w:val="Heading2"/>
        <w:bidi/>
        <w:spacing w:after="120" w:before="280" w:line="300"/>
        <w:jc w:val="start"/>
      </w:pPr>
      <w:r>
        <w:rPr>
          <w:rFonts w:ascii="Arial" w:cs="Arial" w:eastAsia="Arial" w:hAnsi="Arial"/>
          <w:b/>
          <w:bCs/>
          <w:color w:val="15325C"/>
          <w:sz w:val="27"/>
          <w:szCs w:val="27"/>
          <w:rtl/>
        </w:rPr>
        <w:t xml:space="preserve">المرجعية التشريعية والتنظيمية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422"/>
        <w:gridCol w:w="2095"/>
        <w:gridCol w:w="3843"/>
      </w:tblGrid>
      <w:tr>
        <w:trPr>
          <w:tblHeader/>
        </w:trPr>
        <w:tc>
          <w:tcPr>
            <w:tcW w:type="dxa" w:w="342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209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الجهة</w:t>
            </w:r>
          </w:p>
        </w:tc>
        <w:tc>
          <w:tcPr>
            <w:tcW w:type="dxa" w:w="384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وجه المواءمة</w:t>
            </w:r>
          </w:p>
        </w:tc>
      </w:tr>
      <w:tr>
        <w:trPr>
          <w:tblHeader w:val="false"/>
        </w:trPr>
        <w:tc>
          <w:tcPr>
            <w:tcW w:type="dxa" w:w="342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الضوابط الأساسية للأمن السيبراني ECC-2:2024</w:t>
            </w:r>
          </w:p>
        </w:tc>
        <w:tc>
          <w:tcPr>
            <w:tcW w:type="dxa" w:w="209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الهيئة الوطنية للأمن السيبراني</w:t>
            </w:r>
          </w:p>
        </w:tc>
        <w:tc>
          <w:tcPr>
            <w:tcW w:type="dxa" w:w="384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الإطار الحاكم لهذه الاستراتيجية</w:t>
            </w:r>
          </w:p>
        </w:tc>
      </w:tr>
      <w:tr>
        <w:trPr>
          <w:tblHeader w:val="false"/>
        </w:trPr>
        <w:tc>
          <w:tcPr>
            <w:tcW w:type="dxa" w:w="342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ضوابط الأمن السيبراني للأنظمة الحساسة CSCC-1:2019</w:t>
            </w:r>
          </w:p>
        </w:tc>
        <w:tc>
          <w:tcPr>
            <w:tcW w:type="dxa" w:w="209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الهيئة الوطنية للأمن السيبراني</w:t>
            </w:r>
          </w:p>
        </w:tc>
        <w:tc>
          <w:tcPr>
            <w:tcW w:type="dxa" w:w="384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الهدف الاستراتيجي الثاني — الأنظمة الستة المصنّفة حساسة</w:t>
            </w:r>
          </w:p>
        </w:tc>
      </w:tr>
      <w:tr>
        <w:trPr>
          <w:tblHeader w:val="false"/>
        </w:trPr>
        <w:tc>
          <w:tcPr>
            <w:tcW w:type="dxa" w:w="342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ضوابط الأمن السيبراني للحوسبة السحابية CCC-1:2020</w:t>
            </w:r>
          </w:p>
        </w:tc>
        <w:tc>
          <w:tcPr>
            <w:tcW w:type="dxa" w:w="209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الهيئة الوطنية للأمن السيبراني</w:t>
            </w:r>
          </w:p>
        </w:tc>
        <w:tc>
          <w:tcPr>
            <w:tcW w:type="dxa" w:w="384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الهدف الاستراتيجي الثاني — البيئة السحابية</w:t>
            </w:r>
          </w:p>
        </w:tc>
      </w:tr>
      <w:tr>
        <w:trPr>
          <w:tblHeader w:val="false"/>
        </w:trPr>
        <w:tc>
          <w:tcPr>
            <w:tcW w:type="dxa" w:w="342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المعايير الوطنية للتشفير</w:t>
            </w:r>
          </w:p>
        </w:tc>
        <w:tc>
          <w:tcPr>
            <w:tcW w:type="dxa" w:w="209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الهيئة الوطنية للأمن السيبراني</w:t>
            </w:r>
          </w:p>
        </w:tc>
        <w:tc>
          <w:tcPr>
            <w:tcW w:type="dxa" w:w="384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الهدف الاستراتيجي الثاني</w:t>
            </w:r>
          </w:p>
        </w:tc>
      </w:tr>
      <w:tr>
        <w:trPr>
          <w:tblHeader w:val="false"/>
        </w:trPr>
        <w:tc>
          <w:tcPr>
            <w:tcW w:type="dxa" w:w="342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نظام حماية البيانات الشخصية ولائحته التنفيذية</w:t>
            </w:r>
          </w:p>
        </w:tc>
        <w:tc>
          <w:tcPr>
            <w:tcW w:type="dxa" w:w="209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سدايا</w:t>
            </w:r>
          </w:p>
        </w:tc>
        <w:tc>
          <w:tcPr>
            <w:tcW w:type="dxa" w:w="384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الهدف الاستراتيجي الثاني — بيانات المستفيدين</w:t>
            </w:r>
          </w:p>
        </w:tc>
      </w:tr>
      <w:tr>
        <w:trPr>
          <w:tblHeader w:val="false"/>
        </w:trPr>
        <w:tc>
          <w:tcPr>
            <w:tcW w:type="dxa" w:w="342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المتطلبات التعاقدية للجهات العميلة</w:t>
            </w:r>
          </w:p>
        </w:tc>
        <w:tc>
          <w:tcPr>
            <w:tcW w:type="dxa" w:w="209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الجهات الحكومية العميلة</w:t>
            </w:r>
          </w:p>
        </w:tc>
        <w:tc>
          <w:tcPr>
            <w:tcW w:type="dxa" w:w="384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الأهداف الاستراتيجية كافةً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الرؤية</w:t>
      </w:r>
    </w:p>
    <w:p>
      <w:pPr>
        <w:bidi/>
        <w:spacing w:after="140" w:before="0" w:line="300"/>
        <w:jc w:val="start"/>
      </w:pPr>
      <w:r>
        <w:rPr>
          <w:rFonts w:ascii="Arial" w:cs="Arial" w:eastAsia="Arial" w:hAnsi="Arial"/>
          <w:b w:val="false"/>
          <w:bCs w:val="false"/>
          <w:color w:val="16202A"/>
          <w:sz w:val="21"/>
          <w:szCs w:val="21"/>
          <w:rtl/>
        </w:rPr>
        <w:t xml:space="preserve">أن يكون الأمن السيبراني في نَسَق ميزة تنافسية تُطمئن الجهات الحكومية على أنظمتها وبيانات مستفيديها، لا عبئاً على وتيرة التطوير.</w:t>
      </w:r>
    </w:p>
    <w:p>
      <w:pPr>
        <w:pStyle w:val="Heading2"/>
        <w:bidi/>
        <w:spacing w:after="120" w:before="280" w:line="300"/>
        <w:jc w:val="start"/>
      </w:pPr>
      <w:r>
        <w:rPr>
          <w:rFonts w:ascii="Arial" w:cs="Arial" w:eastAsia="Arial" w:hAnsi="Arial"/>
          <w:b/>
          <w:bCs/>
          <w:color w:val="15325C"/>
          <w:sz w:val="27"/>
          <w:szCs w:val="27"/>
          <w:rtl/>
        </w:rPr>
        <w:t xml:space="preserve">الرسالة</w:t>
      </w:r>
    </w:p>
    <w:p>
      <w:pPr>
        <w:bidi/>
        <w:spacing w:after="140" w:before="0" w:line="300"/>
        <w:jc w:val="start"/>
      </w:pPr>
      <w:r>
        <w:rPr>
          <w:rFonts w:ascii="Arial" w:cs="Arial" w:eastAsia="Arial" w:hAnsi="Arial"/>
          <w:b w:val="false"/>
          <w:bCs w:val="false"/>
          <w:color w:val="16202A"/>
          <w:sz w:val="21"/>
          <w:szCs w:val="21"/>
          <w:rtl/>
        </w:rPr>
        <w:t xml:space="preserve">بناء قدرات حوكمة ووقاية وكشف واستجابة تحمي الأنظمة المستضافة وبيانات المستفيدين، وتُدمج داخل دورة تطوير البرمجيات وخطوط النشر بدلاً من أن تُفرض عليها من الخارج.</w:t>
      </w:r>
    </w:p>
    <w:p>
      <w:pPr>
        <w:pStyle w:val="Heading2"/>
        <w:bidi/>
        <w:spacing w:after="120" w:before="280" w:line="300"/>
        <w:jc w:val="start"/>
      </w:pPr>
      <w:r>
        <w:rPr>
          <w:rFonts w:ascii="Arial" w:cs="Arial" w:eastAsia="Arial" w:hAnsi="Arial"/>
          <w:b/>
          <w:bCs/>
          <w:color w:val="15325C"/>
          <w:sz w:val="27"/>
          <w:szCs w:val="27"/>
          <w:rtl/>
        </w:rPr>
        <w:t xml:space="preserve">المبادئ التوجيهية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bCs/>
          <w:color w:val="15325C"/>
          <w:sz w:val="21"/>
          <w:szCs w:val="21"/>
          <w:rtl/>
        </w:rPr>
        <w:t xml:space="preserve">الأمن داخل المسار لا حوله.</w:t>
      </w:r>
      <w:r>
        <w:rPr>
          <w:rFonts w:ascii="Arial" w:cs="Arial" w:eastAsia="Arial" w:hAnsi="Arial"/>
          <w:b w:val="false"/>
          <w:bCs w:val="false"/>
          <w:color w:val="16202A"/>
          <w:sz w:val="21"/>
          <w:szCs w:val="21"/>
          <w:rtl/>
        </w:rPr>
        <w:t xml:space="preserve"> تُدمج الضوابط في خطوط البناء والنشر آلياً، لأن الضابط الذي يُفرض يدوياً يُتجاوَز.</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bCs/>
          <w:color w:val="15325C"/>
          <w:sz w:val="21"/>
          <w:szCs w:val="21"/>
          <w:rtl/>
        </w:rPr>
        <w:t xml:space="preserve">بيانات الجهات العميلة أمانة.</w:t>
      </w:r>
      <w:r>
        <w:rPr>
          <w:rFonts w:ascii="Arial" w:cs="Arial" w:eastAsia="Arial" w:hAnsi="Arial"/>
          <w:b w:val="false"/>
          <w:bCs w:val="false"/>
          <w:color w:val="16202A"/>
          <w:sz w:val="21"/>
          <w:szCs w:val="21"/>
          <w:rtl/>
        </w:rPr>
        <w:t xml:space="preserve"> تُعامَل بمستوى حماية لا يقل عما تطبّقه الجهة المالكة لها.</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bCs/>
          <w:color w:val="15325C"/>
          <w:sz w:val="21"/>
          <w:szCs w:val="21"/>
          <w:rtl/>
        </w:rPr>
        <w:t xml:space="preserve">افتراض الاختراق.</w:t>
      </w:r>
      <w:r>
        <w:rPr>
          <w:rFonts w:ascii="Arial" w:cs="Arial" w:eastAsia="Arial" w:hAnsi="Arial"/>
          <w:b w:val="false"/>
          <w:bCs w:val="false"/>
          <w:color w:val="16202A"/>
          <w:sz w:val="21"/>
          <w:szCs w:val="21"/>
          <w:rtl/>
        </w:rPr>
        <w:t xml:space="preserve"> تُبنى قدرات الكشف والاستجابة على أن الاختراق سيقع لا على أنه قد يقع.</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bCs/>
          <w:color w:val="15325C"/>
          <w:sz w:val="21"/>
          <w:szCs w:val="21"/>
          <w:rtl/>
        </w:rPr>
        <w:t xml:space="preserve">الدليل قبل الادعاء.</w:t>
      </w:r>
      <w:r>
        <w:rPr>
          <w:rFonts w:ascii="Arial" w:cs="Arial" w:eastAsia="Arial" w:hAnsi="Arial"/>
          <w:b w:val="false"/>
          <w:bCs w:val="false"/>
          <w:color w:val="16202A"/>
          <w:sz w:val="21"/>
          <w:szCs w:val="21"/>
          <w:rtl/>
        </w:rPr>
        <w:t xml:space="preserve"> لا يُعدّ الضابط مطبَّقاً قبل وجود دليل قابل للتحقق.</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bCs/>
          <w:color w:val="15325C"/>
          <w:sz w:val="21"/>
          <w:szCs w:val="21"/>
          <w:rtl/>
        </w:rPr>
        <w:t xml:space="preserve">القرار مبني على المخاطر.</w:t>
      </w:r>
      <w:r>
        <w:rPr>
          <w:rFonts w:ascii="Arial" w:cs="Arial" w:eastAsia="Arial" w:hAnsi="Arial"/>
          <w:b w:val="false"/>
          <w:bCs w:val="false"/>
          <w:color w:val="16202A"/>
          <w:sz w:val="21"/>
          <w:szCs w:val="21"/>
          <w:rtl/>
        </w:rPr>
        <w:t xml:space="preserve"> تُشتق الأولويات والإنفاق من سجل المخاطر لا من الانطباعات.</w:t>
      </w:r>
    </w:p>
    <w:p>
      <w:pPr>
        <w:pStyle w:val="Heading2"/>
        <w:bidi/>
        <w:spacing w:after="120" w:before="280" w:line="300"/>
        <w:jc w:val="start"/>
      </w:pPr>
      <w:r>
        <w:rPr>
          <w:rFonts w:ascii="Arial" w:cs="Arial" w:eastAsia="Arial" w:hAnsi="Arial"/>
          <w:b/>
          <w:bCs/>
          <w:color w:val="15325C"/>
          <w:sz w:val="27"/>
          <w:szCs w:val="27"/>
          <w:rtl/>
        </w:rPr>
        <w:t xml:space="preserve">تحليل الوضع الحالي</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727"/>
        <w:gridCol w:w="5633"/>
      </w:tblGrid>
      <w:tr>
        <w:trPr>
          <w:tblHeader/>
        </w:trPr>
        <w:tc>
          <w:tcPr>
            <w:tcW w:type="dxa" w:w="372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البُعد</w:t>
            </w:r>
          </w:p>
        </w:tc>
        <w:tc>
          <w:tcPr>
            <w:tcW w:type="dxa" w:w="563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التقييم</w:t>
            </w:r>
          </w:p>
        </w:tc>
      </w:tr>
      <w:tr>
        <w:trPr>
          <w:tblHeader w:val="false"/>
        </w:trPr>
        <w:tc>
          <w:tcPr>
            <w:tcW w:type="dxa" w:w="372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نسبة الالتزام بالضوابط الأساسية عند خط الأساس</w:t>
            </w:r>
          </w:p>
        </w:tc>
        <w:tc>
          <w:tcPr>
            <w:tcW w:type="dxa" w:w="56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١٩%</w:t>
            </w:r>
          </w:p>
        </w:tc>
      </w:tr>
      <w:tr>
        <w:trPr>
          <w:tblHeader w:val="false"/>
        </w:trPr>
        <w:tc>
          <w:tcPr>
            <w:tcW w:type="dxa" w:w="372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مستوى النضج</w:t>
            </w:r>
          </w:p>
        </w:tc>
        <w:tc>
          <w:tcPr>
            <w:tcW w:type="dxa" w:w="56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١.٦ من ٥</w:t>
            </w:r>
          </w:p>
        </w:tc>
      </w:tr>
      <w:tr>
        <w:trPr>
          <w:tblHeader w:val="false"/>
        </w:trPr>
        <w:tc>
          <w:tcPr>
            <w:tcW w:type="dxa" w:w="372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نقاط القوة</w:t>
            </w:r>
          </w:p>
        </w:tc>
        <w:tc>
          <w:tcPr>
            <w:tcW w:type="dxa" w:w="56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عمليات أمنية يعمل على مدار الساعة · فريق من ١٤ موظفاً · وحدة أمن تطبيقات · موقع تعافٍ مجهّز</w:t>
            </w:r>
          </w:p>
        </w:tc>
      </w:tr>
      <w:tr>
        <w:trPr>
          <w:tblHeader w:val="false"/>
        </w:trPr>
        <w:tc>
          <w:tcPr>
            <w:tcW w:type="dxa" w:w="372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نقاط الضعف</w:t>
            </w:r>
          </w:p>
        </w:tc>
        <w:tc>
          <w:tcPr>
            <w:tcW w:type="dxa" w:w="56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غياب الحوكمة الموثقة · لا إدارة مخاطر · وصول غير مضبوط للأطراف الخارجية · قدرات غير مثبتة بالاختبار</w:t>
            </w:r>
          </w:p>
        </w:tc>
      </w:tr>
      <w:tr>
        <w:trPr>
          <w:tblHeader w:val="false"/>
        </w:trPr>
        <w:tc>
          <w:tcPr>
            <w:tcW w:type="dxa" w:w="372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الخلاصة</w:t>
            </w:r>
          </w:p>
        </w:tc>
        <w:tc>
          <w:tcPr>
            <w:tcW w:type="dxa" w:w="56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القدرة التشغيلية قائمة والناقص هو الحوكمة التي تحوّلها إلى التزام قابل للإثبات</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الأهداف الاستراتيجية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222"/>
        <w:gridCol w:w="2116"/>
        <w:gridCol w:w="2916"/>
        <w:gridCol w:w="1222"/>
        <w:gridCol w:w="1884"/>
      </w:tblGrid>
      <w:tr>
        <w:trPr>
          <w:tblHeader/>
        </w:trPr>
        <w:tc>
          <w:tcPr>
            <w:tcW w:type="dxa" w:w="122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211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الهدف</w:t>
            </w:r>
          </w:p>
        </w:tc>
        <w:tc>
          <w:tcPr>
            <w:tcW w:type="dxa" w:w="291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مؤشر القياس</w:t>
            </w:r>
          </w:p>
        </w:tc>
        <w:tc>
          <w:tcPr>
            <w:tcW w:type="dxa" w:w="122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خط الأساس</w:t>
            </w:r>
          </w:p>
        </w:tc>
        <w:tc>
          <w:tcPr>
            <w:tcW w:type="dxa" w:w="188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المستهدف</w:t>
            </w:r>
          </w:p>
        </w:tc>
      </w:tr>
      <w:tr>
        <w:trPr>
          <w:tblHeader w:val="false"/>
        </w:trPr>
        <w:tc>
          <w:tcPr>
            <w:tcW w:type="dxa" w:w="122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SO-1</w:t>
            </w:r>
          </w:p>
        </w:tc>
        <w:tc>
          <w:tcPr>
            <w:tcW w:type="dxa" w:w="21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ترسيخ حوكمة أمن سيبراني معتمدة</w:t>
            </w:r>
          </w:p>
        </w:tc>
        <w:tc>
          <w:tcPr>
            <w:tcW w:type="dxa" w:w="29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نسبة الالتزام بالضوابط الأساسية</w:t>
            </w:r>
          </w:p>
        </w:tc>
        <w:tc>
          <w:tcPr>
            <w:tcW w:type="dxa" w:w="122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١٩%</w:t>
            </w:r>
          </w:p>
        </w:tc>
        <w:tc>
          <w:tcPr>
            <w:tcW w:type="dxa" w:w="188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٩٥% خلال ١٨ شهراً</w:t>
            </w:r>
          </w:p>
        </w:tc>
      </w:tr>
      <w:tr>
        <w:trPr>
          <w:tblHeader w:val="false"/>
        </w:trPr>
        <w:tc>
          <w:tcPr>
            <w:tcW w:type="dxa" w:w="122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SO-2</w:t>
            </w:r>
          </w:p>
        </w:tc>
        <w:tc>
          <w:tcPr>
            <w:tcW w:type="dxa" w:w="211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حماية بيانات الجهات العميلة والمستفيدين</w:t>
            </w:r>
          </w:p>
        </w:tc>
        <w:tc>
          <w:tcPr>
            <w:tcW w:type="dxa" w:w="291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نسبة الأصول المصنّفة والمحمية وفق تصنيفها</w:t>
            </w:r>
          </w:p>
        </w:tc>
        <w:tc>
          <w:tcPr>
            <w:tcW w:type="dxa" w:w="122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صفر</w:t>
            </w:r>
          </w:p>
        </w:tc>
        <w:tc>
          <w:tcPr>
            <w:tcW w:type="dxa" w:w="188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١٠٠% خلال ١٤ شهراً</w:t>
            </w:r>
          </w:p>
        </w:tc>
      </w:tr>
      <w:tr>
        <w:trPr>
          <w:tblHeader w:val="false"/>
        </w:trPr>
        <w:tc>
          <w:tcPr>
            <w:tcW w:type="dxa" w:w="122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SO-3</w:t>
            </w:r>
          </w:p>
        </w:tc>
        <w:tc>
          <w:tcPr>
            <w:tcW w:type="dxa" w:w="21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تأمين سلسلة الإمداد البرمجية ودورة تطوير آمنة</w:t>
            </w:r>
          </w:p>
        </w:tc>
        <w:tc>
          <w:tcPr>
            <w:tcW w:type="dxa" w:w="29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نسبة خطوط النشر المطبَّق عليها الفحص الأمني الإلزامي</w:t>
            </w:r>
          </w:p>
        </w:tc>
        <w:tc>
          <w:tcPr>
            <w:tcW w:type="dxa" w:w="122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٣٩%</w:t>
            </w:r>
          </w:p>
        </w:tc>
        <w:tc>
          <w:tcPr>
            <w:tcW w:type="dxa" w:w="188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١٠٠% خلال ١٢ شهراً</w:t>
            </w:r>
          </w:p>
        </w:tc>
      </w:tr>
      <w:tr>
        <w:trPr>
          <w:tblHeader w:val="false"/>
        </w:trPr>
        <w:tc>
          <w:tcPr>
            <w:tcW w:type="dxa" w:w="122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SO-4</w:t>
            </w:r>
          </w:p>
        </w:tc>
        <w:tc>
          <w:tcPr>
            <w:tcW w:type="dxa" w:w="211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بناء قدرة كشف واستجابة وصمود مُختبَرة</w:t>
            </w:r>
          </w:p>
        </w:tc>
        <w:tc>
          <w:tcPr>
            <w:tcW w:type="dxa" w:w="291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زمن الكشف · زمن التعافي المثبت بالاختبار</w:t>
            </w:r>
          </w:p>
        </w:tc>
        <w:tc>
          <w:tcPr>
            <w:tcW w:type="dxa" w:w="122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مقاس</w:t>
            </w:r>
          </w:p>
        </w:tc>
        <w:tc>
          <w:tcPr>
            <w:tcW w:type="dxa" w:w="188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كشف أقل من ٦٠ دقيقة · تعافٍ ٤ ساعات مثبت</w:t>
            </w:r>
          </w:p>
        </w:tc>
      </w:tr>
      <w:tr>
        <w:trPr>
          <w:tblHeader w:val="false"/>
        </w:trPr>
        <w:tc>
          <w:tcPr>
            <w:tcW w:type="dxa" w:w="122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SO-5</w:t>
            </w:r>
          </w:p>
        </w:tc>
        <w:tc>
          <w:tcPr>
            <w:tcW w:type="dxa" w:w="21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بناء ثقافة وكوادر وطنية مؤهلة</w:t>
            </w:r>
          </w:p>
        </w:tc>
        <w:tc>
          <w:tcPr>
            <w:tcW w:type="dxa" w:w="29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نسبة التوطين في وظائف الأمن السيبراني · معدل الوقوع في التصيّد</w:t>
            </w:r>
          </w:p>
        </w:tc>
        <w:tc>
          <w:tcPr>
            <w:tcW w:type="dxa" w:w="122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٨٦% · غير مقاس</w:t>
            </w:r>
          </w:p>
        </w:tc>
        <w:tc>
          <w:tcPr>
            <w:tcW w:type="dxa" w:w="188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١٠٠% · أقل من ٥%</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المبادرات الاستراتيجية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789"/>
        <w:gridCol w:w="1789"/>
        <w:gridCol w:w="3991"/>
        <w:gridCol w:w="1791"/>
      </w:tblGrid>
      <w:tr>
        <w:trPr>
          <w:tblHeader/>
        </w:trPr>
        <w:tc>
          <w:tcPr>
            <w:tcW w:type="dxa" w:w="178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المرحلة</w:t>
            </w:r>
          </w:p>
        </w:tc>
        <w:tc>
          <w:tcPr>
            <w:tcW w:type="dxa" w:w="178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الإطار الزمني</w:t>
            </w:r>
          </w:p>
        </w:tc>
        <w:tc>
          <w:tcPr>
            <w:tcW w:type="dxa" w:w="399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المبادرات</w:t>
            </w:r>
          </w:p>
        </w:tc>
        <w:tc>
          <w:tcPr>
            <w:tcW w:type="dxa" w:w="179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الهدف المرتبط</w:t>
            </w:r>
          </w:p>
        </w:tc>
      </w:tr>
      <w:tr>
        <w:trPr>
          <w:tblHeader w:val="false"/>
        </w:trPr>
        <w:tc>
          <w:tcPr>
            <w:tcW w:type="dxa" w:w="178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الأولى — الاحتواء العاجل</w:t>
            </w:r>
          </w:p>
        </w:tc>
        <w:tc>
          <w:tcPr>
            <w:tcW w:type="dxa" w:w="178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الأشهر ١ – ٣</w:t>
            </w:r>
          </w:p>
        </w:tc>
        <w:tc>
          <w:tcPr>
            <w:tcW w:type="dxa" w:w="399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معالجة الفجوات الحرجة الخمس عشرة</w:t>
            </w:r>
          </w:p>
        </w:tc>
        <w:tc>
          <w:tcPr>
            <w:tcW w:type="dxa" w:w="179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SO-2 · SO-3 · SO-4</w:t>
            </w:r>
          </w:p>
        </w:tc>
      </w:tr>
      <w:tr>
        <w:trPr>
          <w:tblHeader w:val="false"/>
        </w:trPr>
        <w:tc>
          <w:tcPr>
            <w:tcW w:type="dxa" w:w="178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الثانية — التأسيس الحوكمي</w:t>
            </w:r>
          </w:p>
        </w:tc>
        <w:tc>
          <w:tcPr>
            <w:tcW w:type="dxa" w:w="178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الأشهر ٣ – ٨</w:t>
            </w:r>
          </w:p>
        </w:tc>
        <w:tc>
          <w:tcPr>
            <w:tcW w:type="dxa" w:w="399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الاستراتيجية واللجنة والسياسات والأدوار والمراجعة</w:t>
            </w:r>
          </w:p>
        </w:tc>
        <w:tc>
          <w:tcPr>
            <w:tcW w:type="dxa" w:w="179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SO-1</w:t>
            </w:r>
          </w:p>
        </w:tc>
      </w:tr>
      <w:tr>
        <w:trPr>
          <w:tblHeader w:val="false"/>
        </w:trPr>
        <w:tc>
          <w:tcPr>
            <w:tcW w:type="dxa" w:w="178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الثالثة — التحصين التقني</w:t>
            </w:r>
          </w:p>
        </w:tc>
        <w:tc>
          <w:tcPr>
            <w:tcW w:type="dxa" w:w="178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الأشهر ٧ – ١٤</w:t>
            </w:r>
          </w:p>
        </w:tc>
        <w:tc>
          <w:tcPr>
            <w:tcW w:type="dxa" w:w="399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التصنيف وحماية البيانات والتحصين والثغرات واختبار الاختراق</w:t>
            </w:r>
          </w:p>
        </w:tc>
        <w:tc>
          <w:tcPr>
            <w:tcW w:type="dxa" w:w="179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SO-2 · SO-3</w:t>
            </w:r>
          </w:p>
        </w:tc>
      </w:tr>
      <w:tr>
        <w:trPr>
          <w:tblHeader w:val="false"/>
        </w:trPr>
        <w:tc>
          <w:tcPr>
            <w:tcW w:type="dxa" w:w="178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الرابعة — التمكين والقياس</w:t>
            </w:r>
          </w:p>
        </w:tc>
        <w:tc>
          <w:tcPr>
            <w:tcW w:type="dxa" w:w="178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الأشهر ١٣ – ١٨</w:t>
            </w:r>
          </w:p>
        </w:tc>
        <w:tc>
          <w:tcPr>
            <w:tcW w:type="dxa" w:w="399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التوعية والتوطين وتفعيل دورات المراجعة</w:t>
            </w:r>
          </w:p>
        </w:tc>
        <w:tc>
          <w:tcPr>
            <w:tcW w:type="dxa" w:w="179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SO-5 · SO-1</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val="false"/>
          <w:bCs w:val="false"/>
          <w:color w:val="16202A"/>
          <w:sz w:val="21"/>
          <w:szCs w:val="21"/>
          <w:rtl/>
        </w:rPr>
        <w:t xml:space="preserve">تفاصيل المبادرات وحالة إنجازها موثقة في خطة عمل تنفيذ الاستراتيجية CS-PLN-002.</w:t>
      </w:r>
    </w:p>
    <w:p>
      <w:pPr>
        <w:pStyle w:val="Heading2"/>
        <w:bidi/>
        <w:spacing w:after="120" w:before="280" w:line="300"/>
        <w:jc w:val="start"/>
      </w:pPr>
      <w:r>
        <w:rPr>
          <w:rFonts w:ascii="Arial" w:cs="Arial" w:eastAsia="Arial" w:hAnsi="Arial"/>
          <w:b/>
          <w:bCs/>
          <w:color w:val="15325C"/>
          <w:sz w:val="27"/>
          <w:szCs w:val="27"/>
          <w:rtl/>
        </w:rPr>
        <w:t xml:space="preserve">الحوكمة والمتابعة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857"/>
        <w:gridCol w:w="2643"/>
        <w:gridCol w:w="1857"/>
        <w:gridCol w:w="3003"/>
      </w:tblGrid>
      <w:tr>
        <w:trPr>
          <w:tblHeader/>
        </w:trPr>
        <w:tc>
          <w:tcPr>
            <w:tcW w:type="dxa" w:w="185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المستوى</w:t>
            </w:r>
          </w:p>
        </w:tc>
        <w:tc>
          <w:tcPr>
            <w:tcW w:type="dxa" w:w="264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الجهة</w:t>
            </w:r>
          </w:p>
        </w:tc>
        <w:tc>
          <w:tcPr>
            <w:tcW w:type="dxa" w:w="185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الدورية</w:t>
            </w:r>
          </w:p>
        </w:tc>
        <w:tc>
          <w:tcPr>
            <w:tcW w:type="dxa" w:w="300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المحتوى</w:t>
            </w:r>
          </w:p>
        </w:tc>
      </w:tr>
      <w:tr>
        <w:trPr>
          <w:tblHeader w:val="false"/>
        </w:trPr>
        <w:tc>
          <w:tcPr>
            <w:tcW w:type="dxa" w:w="185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استراتيجي</w:t>
            </w:r>
          </w:p>
        </w:tc>
        <w:tc>
          <w:tcPr>
            <w:tcW w:type="dxa" w:w="264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مجلس الإدارة · لجنة المخاطر والالتزام</w:t>
            </w:r>
          </w:p>
        </w:tc>
        <w:tc>
          <w:tcPr>
            <w:tcW w:type="dxa" w:w="185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نصف سنوي</w:t>
            </w:r>
          </w:p>
        </w:tc>
        <w:tc>
          <w:tcPr>
            <w:tcW w:type="dxa" w:w="300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تقدّم الأهداف الاستراتيجية والمخاطر العليا</w:t>
            </w:r>
          </w:p>
        </w:tc>
      </w:tr>
      <w:tr>
        <w:trPr>
          <w:tblHeader w:val="false"/>
        </w:trPr>
        <w:tc>
          <w:tcPr>
            <w:tcW w:type="dxa" w:w="185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إشرافي</w:t>
            </w:r>
          </w:p>
        </w:tc>
        <w:tc>
          <w:tcPr>
            <w:tcW w:type="dxa" w:w="264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اللجنة الإشرافية للأمن السيبراني</w:t>
            </w:r>
          </w:p>
        </w:tc>
        <w:tc>
          <w:tcPr>
            <w:tcW w:type="dxa" w:w="185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300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حالة المبادرات ومؤشرات الأداء والعوائق</w:t>
            </w:r>
          </w:p>
        </w:tc>
      </w:tr>
      <w:tr>
        <w:trPr>
          <w:tblHeader w:val="false"/>
        </w:trPr>
        <w:tc>
          <w:tcPr>
            <w:tcW w:type="dxa" w:w="185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تنفيذي</w:t>
            </w:r>
          </w:p>
        </w:tc>
        <w:tc>
          <w:tcPr>
            <w:tcW w:type="dxa" w:w="264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الأمن السيبراني</w:t>
            </w:r>
          </w:p>
        </w:tc>
        <w:tc>
          <w:tcPr>
            <w:tcW w:type="dxa" w:w="185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شهري</w:t>
            </w:r>
          </w:p>
        </w:tc>
        <w:tc>
          <w:tcPr>
            <w:tcW w:type="dxa" w:w="300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حالة المهام والفجوات الحرجة المفتوحة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الموارد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781"/>
        <w:gridCol w:w="3579"/>
      </w:tblGrid>
      <w:tr>
        <w:trPr>
          <w:tblHeader/>
        </w:trPr>
        <w:tc>
          <w:tcPr>
            <w:tcW w:type="dxa" w:w="578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357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التقدير (مليون ريال)</w:t>
            </w:r>
          </w:p>
        </w:tc>
      </w:tr>
      <w:tr>
        <w:trPr>
          <w:tblHeader w:val="false"/>
        </w:trPr>
        <w:tc>
          <w:tcPr>
            <w:tcW w:type="dxa" w:w="578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حلول وتقنيات</w:t>
            </w:r>
          </w:p>
        </w:tc>
        <w:tc>
          <w:tcPr>
            <w:tcW w:type="dxa" w:w="357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٩.٥</w:t>
            </w:r>
          </w:p>
        </w:tc>
      </w:tr>
      <w:tr>
        <w:trPr>
          <w:tblHeader w:val="false"/>
        </w:trPr>
        <w:tc>
          <w:tcPr>
            <w:tcW w:type="dxa" w:w="578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خدمات استشارية واختبار اختراق وتدقيق مستقل</w:t>
            </w:r>
          </w:p>
        </w:tc>
        <w:tc>
          <w:tcPr>
            <w:tcW w:type="dxa" w:w="357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٣.٢</w:t>
            </w:r>
          </w:p>
        </w:tc>
      </w:tr>
      <w:tr>
        <w:trPr>
          <w:tblHeader w:val="false"/>
        </w:trPr>
        <w:tc>
          <w:tcPr>
            <w:tcW w:type="dxa" w:w="578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الكوادر البشرية — أربع وظائف إضافية</w:t>
            </w:r>
          </w:p>
        </w:tc>
        <w:tc>
          <w:tcPr>
            <w:tcW w:type="dxa" w:w="357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٤.٨</w:t>
            </w:r>
          </w:p>
        </w:tc>
      </w:tr>
      <w:tr>
        <w:trPr>
          <w:tblHeader w:val="false"/>
        </w:trPr>
        <w:tc>
          <w:tcPr>
            <w:tcW w:type="dxa" w:w="578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التدريب والشهادات الاحترافية</w:t>
            </w:r>
          </w:p>
        </w:tc>
        <w:tc>
          <w:tcPr>
            <w:tcW w:type="dxa" w:w="357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١.١</w:t>
            </w:r>
          </w:p>
        </w:tc>
      </w:tr>
      <w:tr>
        <w:trPr>
          <w:tblHeader w:val="false"/>
        </w:trPr>
        <w:tc>
          <w:tcPr>
            <w:tcW w:type="dxa" w:w="5781"/>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الإجمالي على ١٨ شهراً</w:t>
            </w:r>
          </w:p>
        </w:tc>
        <w:tc>
          <w:tcPr>
            <w:tcW w:type="dxa" w:w="3579"/>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١٨.٦</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مخاطر تنفيذ الاستراتيجية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27"/>
        <w:gridCol w:w="2186"/>
        <w:gridCol w:w="4647"/>
      </w:tblGrid>
      <w:tr>
        <w:trPr>
          <w:tblHeader/>
        </w:trPr>
        <w:tc>
          <w:tcPr>
            <w:tcW w:type="dxa" w:w="252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المخاطرة</w:t>
            </w:r>
          </w:p>
        </w:tc>
        <w:tc>
          <w:tcPr>
            <w:tcW w:type="dxa" w:w="218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الأثر</w:t>
            </w:r>
          </w:p>
        </w:tc>
        <w:tc>
          <w:tcPr>
            <w:tcW w:type="dxa" w:w="464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المعالجة</w:t>
            </w:r>
          </w:p>
        </w:tc>
      </w:tr>
      <w:tr>
        <w:trPr>
          <w:tblHeader w:val="false"/>
        </w:trPr>
        <w:tc>
          <w:tcPr>
            <w:tcW w:type="dxa" w:w="252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تعارض الضوابط مع وتيرة إصدار المنتجات</w:t>
            </w:r>
          </w:p>
        </w:tc>
        <w:tc>
          <w:tcPr>
            <w:tcW w:type="dxa" w:w="21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تعثّر SO-3</w:t>
            </w:r>
          </w:p>
        </w:tc>
        <w:tc>
          <w:tcPr>
            <w:tcW w:type="dxa" w:w="464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دمج الفحوص في خطوط النشر آلياً وإشراك مدير الهندسة في اللجنة الإشرافية</w:t>
            </w:r>
          </w:p>
        </w:tc>
      </w:tr>
      <w:tr>
        <w:trPr>
          <w:tblHeader w:val="false"/>
        </w:trPr>
        <w:tc>
          <w:tcPr>
            <w:tcW w:type="dxa" w:w="252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اعتماد جوهري على أطراف خارجية</w:t>
            </w:r>
          </w:p>
        </w:tc>
        <w:tc>
          <w:tcPr>
            <w:tcW w:type="dxa" w:w="21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تعثّر SO-2</w:t>
            </w:r>
          </w:p>
        </w:tc>
        <w:tc>
          <w:tcPr>
            <w:tcW w:type="dxa" w:w="464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تنفيذ برنامج ضبط الأطراف الخارجية مبكراً</w:t>
            </w:r>
          </w:p>
        </w:tc>
      </w:tr>
      <w:tr>
        <w:trPr>
          <w:tblHeader w:val="false"/>
        </w:trPr>
        <w:tc>
          <w:tcPr>
            <w:tcW w:type="dxa" w:w="252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صعوبة استقطاب كوادر وطنية متخصصة</w:t>
            </w:r>
          </w:p>
        </w:tc>
        <w:tc>
          <w:tcPr>
            <w:tcW w:type="dxa" w:w="21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تعثّر SO-5</w:t>
            </w:r>
          </w:p>
        </w:tc>
        <w:tc>
          <w:tcPr>
            <w:tcW w:type="dxa" w:w="464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برنامج تأهيل داخلي وشراكة تدريبية</w:t>
            </w:r>
          </w:p>
        </w:tc>
      </w:tr>
      <w:tr>
        <w:trPr>
          <w:tblHeader w:val="false"/>
        </w:trPr>
        <w:tc>
          <w:tcPr>
            <w:tcW w:type="dxa" w:w="252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تجاوز الميزانية</w:t>
            </w:r>
          </w:p>
        </w:tc>
        <w:tc>
          <w:tcPr>
            <w:tcW w:type="dxa" w:w="21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تعثّر المرحلتين الثالثة والرابعة</w:t>
            </w:r>
          </w:p>
        </w:tc>
        <w:tc>
          <w:tcPr>
            <w:tcW w:type="dxa" w:w="464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إعادة ترتيب المبادرات بناءً على سجل المخاطر</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تُراجَع هذه الاستراتيجية وفق الجدول التالي، وتُوثَّق التغييرات وتُعتمد من صاحب الصلاحية.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028"/>
        <w:gridCol w:w="5304"/>
        <w:gridCol w:w="2028"/>
      </w:tblGrid>
      <w:tr>
        <w:trPr>
          <w:tblHeader/>
        </w:trPr>
        <w:tc>
          <w:tcPr>
            <w:tcW w:type="dxa" w:w="202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المحطة</w:t>
            </w:r>
          </w:p>
        </w:tc>
        <w:tc>
          <w:tcPr>
            <w:tcW w:type="dxa" w:w="530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التوقيت</w:t>
            </w:r>
          </w:p>
        </w:tc>
        <w:tc>
          <w:tcPr>
            <w:tcW w:type="dxa" w:w="202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المخرج</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دورية شاملة</w:t>
            </w:r>
          </w:p>
        </w:tc>
        <w:tc>
          <w:tcPr>
            <w:tcW w:type="dxa" w:w="53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سنوياً في الربع الأول</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استراتيجية محدَّثة معتمدة</w:t>
            </w:r>
          </w:p>
        </w:tc>
      </w:tr>
      <w:tr>
        <w:trPr>
          <w:tblHeader w:val="false"/>
        </w:trPr>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تقدّم الأهداف</w:t>
            </w:r>
          </w:p>
        </w:tc>
        <w:tc>
          <w:tcPr>
            <w:tcW w:type="dxa" w:w="53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حالة المبادرات</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استثنائية</w:t>
            </w:r>
          </w:p>
        </w:tc>
        <w:tc>
          <w:tcPr>
            <w:tcW w:type="dxa" w:w="53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عند صدور أو تحديث متطلبات تشريعية أو تنظيمية · عند تغيّر جوهري في نموذج عمل الشركة · عقب حادثة ذات أثر جوهري</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استراتيجية محدَّثة معتمدة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931"/>
        <w:gridCol w:w="3565"/>
        <w:gridCol w:w="1931"/>
        <w:gridCol w:w="1933"/>
      </w:tblGrid>
      <w:tr>
        <w:trPr>
          <w:tblHeader/>
        </w:trPr>
        <w:tc>
          <w:tcPr>
            <w:tcW w:type="dxa" w:w="19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56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193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193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أُعدّت بواسطة</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رُوجعت بواسطة</w:t>
            </w:r>
          </w:p>
        </w:tc>
        <w:tc>
          <w:tcPr>
            <w:tcW w:type="dxa" w:w="356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اللجنة الإشرافية للأمن السيبراني</w:t>
            </w:r>
          </w:p>
        </w:tc>
        <w:tc>
          <w:tcPr>
            <w:tcW w:type="dxa" w:w="193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اعتُمدت بواسطة</w:t>
            </w:r>
          </w:p>
        </w:tc>
        <w:tc>
          <w:tcPr>
            <w:tcW w:type="dxa" w:w="356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 · صاحب الصلاحية</w:t>
            </w:r>
          </w:p>
        </w:tc>
        <w:tc>
          <w:tcPr>
            <w:tcW w:type="dxa" w:w="193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CS-STR-001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CS-STR-001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CS-STR-001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2026-10-04T11:48:00.234Z</dcterms:created>
  <dcterms:modified xsi:type="dcterms:W3CDTF">2026-10-04T11:48:00.234Z</dcterms:modified>
</cp:coreProperties>
</file>

<file path=docProps/custom.xml><?xml version="1.0" encoding="utf-8"?>
<Properties xmlns="http://schemas.openxmlformats.org/officeDocument/2006/custom-properties" xmlns:vt="http://schemas.openxmlformats.org/officeDocument/2006/docPropsVTypes"/>
</file>