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C1F3D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bidi/>
              <w:spacing w:after="4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  <w:rtl/>
              </w:rPr>
              <w:t xml:space="preserve">شركة نَسَق للحلول الرقمية</w:t>
            </w:r>
          </w:p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9FB6C9"/>
                <w:sz w:val="18"/>
                <w:szCs w:val="18"/>
                <w:rtl/>
              </w:rPr>
              <w:t xml:space="preserve">إدارة الأمن السيبراني</w:t>
            </w:r>
          </w:p>
          <w:p>
            <w:pPr>
              <w:bidi/>
              <w:spacing w:after="700" w:before="0" w:line="300"/>
              <w:jc w:val="start"/>
            </w:pPr>
            <w:r>
              <w:rPr>
                <w:rFonts w:ascii="Arial" w:cs="Arial" w:eastAsia="Arial" w:hAnsi="Arial"/>
                <w:color w:val="6E8CA6"/>
                <w:sz w:val="14"/>
                <w:szCs w:val="14"/>
              </w:rPr>
              <w:t xml:space="preserve">NASAQ DIGITAL SOLUTIONS CO</w:t>
            </w:r>
          </w:p>
          <w:p>
            <w:pPr>
              <w:bidi/>
              <w:spacing w:after="9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C9A227"/>
                <w:sz w:val="19"/>
                <w:szCs w:val="19"/>
                <w:rtl/>
              </w:rPr>
              <w:t xml:space="preserve">خطة معتمدة</w:t>
            </w:r>
          </w:p>
          <w:p>
            <w:pPr>
              <w:bidi/>
              <w:spacing w:after="120" w:before="0" w:line="42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  <w:rtl/>
              </w:rPr>
              <w:t xml:space="preserve">خطة التدريب المتخصص في الأمن السيبراني</w:t>
            </w:r>
          </w:p>
          <w:p>
            <w:pPr>
              <w:bidi/>
              <w:spacing w:after="26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AFC4D4"/>
                <w:sz w:val="22"/>
                <w:szCs w:val="22"/>
                <w:rtl/>
              </w:rPr>
              <w:t xml:space="preserve">ثلاث فئات · شهادات احترافية · قياس الأثر على المخرجات</w:t>
            </w:r>
          </w:p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  <w:rtl/>
              </w:rPr>
              <w:t xml:space="preserve">تصنيف الوثيقة: داخلي</w:t>
            </w:r>
          </w:p>
        </w:tc>
      </w:tr>
    </w:tbl>
    <w:p>
      <w:pPr>
        <w:bidi/>
        <w:spacing w:after="2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D8E0E3" w:sz="2"/>
          <w:insideV w:val="none"/>
        </w:tblBorders>
      </w:tblPr>
      <w:tblGrid>
        <w:gridCol w:w="3400"/>
        <w:gridCol w:w="5960"/>
      </w:tblGrid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CS-PLN-005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الإصدار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1.0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مالك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مدير الموارد البشرية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جهة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المراجعة القادمة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ECC-2:2024 — 1-10-4</w:t>
            </w:r>
          </w:p>
        </w:tc>
      </w:tr>
    </w:tbl>
    <w:p>
      <w:pPr>
        <w:bidi/>
        <w:spacing w:after="3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p>
      <w:pPr>
        <w:bidi/>
        <w:spacing w:after="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5A6672"/>
          <w:sz w:val="16"/>
          <w:szCs w:val="16"/>
          <w:rtl/>
        </w:rPr>
        <w:t xml:space="preserve">هذه الوثيقة ملكية فكرية لـ شركة نَسَق للحلول الرقمية، وتصنيفها «داخلي». لا يجوز نسخها أو تداولها خارج الشركة دون موافقة خطية من مالك الوثيقة.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000" w:right="1080" w:bottom="900" w:left="1080" w:header="708" w:footer="708" w:gutter="0"/>
          <w:pgNumType/>
          <w:docGrid w:linePitch="360"/>
        </w:sectPr>
      </w:pPr>
    </w:p>
    <w:p>
      <w:pPr>
        <w:pStyle w:val="Heading1"/>
        <w:bidi/>
        <w:spacing w:after="20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32"/>
          <w:szCs w:val="32"/>
          <w:rtl/>
        </w:rPr>
        <w:t xml:space="preserve">خطة التدريب المتخصص في الأمن السيبراني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الغرض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تحدد هذه الخطة برامج التدريب المتخصص للفئات الوظيفية ذات الصلة المباشرة بالأمن السيبراني في شركة نَسَق للحلول الرقمية، وتستوفي الضابط ١-١٠-٤، ويُعدّ مخرَجاً من حزمة العمل WP-21.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النطاق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العاملون في إدارة الأمن السيبراني، والمطوّرون، ومشغّلو الأصول المعلوماتية والتقنية، وشاغلو الوظائف الإشرافية والتنفيذية.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المرجعية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4794"/>
        <w:gridCol w:w="4566"/>
      </w:tblGrid>
      <w:tr>
        <w:trPr>
          <w:tblHeader/>
        </w:trPr>
        <w:tc>
          <w:tcPr>
            <w:tcW w:type="dxa" w:w="47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المرجع</w:t>
            </w:r>
          </w:p>
        </w:tc>
        <w:tc>
          <w:tcPr>
            <w:tcW w:type="dxa" w:w="456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العلاقة</w:t>
            </w:r>
          </w:p>
        </w:tc>
      </w:tr>
      <w:tr>
        <w:trPr>
          <w:tblHeader w:val="false"/>
        </w:trPr>
        <w:tc>
          <w:tcPr>
            <w:tcW w:type="dxa" w:w="47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ECC-2:2024 — الضابط ١-١٠-٤</w:t>
            </w:r>
          </w:p>
        </w:tc>
        <w:tc>
          <w:tcPr>
            <w:tcW w:type="dxa" w:w="45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الضابط الذي تستوفيه هذه الخطة</w:t>
            </w:r>
          </w:p>
        </w:tc>
      </w:tr>
      <w:tr>
        <w:trPr>
          <w:tblHeader w:val="false"/>
        </w:trPr>
        <w:tc>
          <w:tcPr>
            <w:tcW w:type="dxa" w:w="47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برنامج التوعية بالأمن السيبراني CS-PLN-004</w:t>
            </w:r>
          </w:p>
        </w:tc>
        <w:tc>
          <w:tcPr>
            <w:tcW w:type="dxa" w:w="456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المحتوى الأساسي المشترك</w:t>
            </w:r>
          </w:p>
        </w:tc>
      </w:tr>
      <w:tr>
        <w:trPr>
          <w:tblHeader w:val="false"/>
        </w:trPr>
        <w:tc>
          <w:tcPr>
            <w:tcW w:type="dxa" w:w="47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أدوار ومسؤوليات الأمن السيبراني CS-DOC-004</w:t>
            </w:r>
          </w:p>
        </w:tc>
        <w:tc>
          <w:tcPr>
            <w:tcW w:type="dxa" w:w="45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الأدوار التي تُشتق منها احتياجات التدريب</w:t>
            </w:r>
          </w:p>
        </w:tc>
      </w:tr>
      <w:tr>
        <w:trPr>
          <w:tblHeader w:val="false"/>
        </w:trPr>
        <w:tc>
          <w:tcPr>
            <w:tcW w:type="dxa" w:w="47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استراتيجية الأمن السيبراني CS-STR-001</w:t>
            </w:r>
          </w:p>
        </w:tc>
        <w:tc>
          <w:tcPr>
            <w:tcW w:type="dxa" w:w="456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الهدف الاستراتيجي الخامس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مبدأ الخطة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التدريب يُشتق من الدور لا من العرض المتاح.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تُحدَّد احتياجات كل دور من وصفه ومسؤولياته في وثيقة الأدوار، ثم يُبحث عن البرنامج المناسب — لا العكس.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فئات التدريب</w:t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أولاً: العاملون في إدارة الأمن السيبراني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589"/>
        <w:gridCol w:w="1530"/>
        <w:gridCol w:w="4003"/>
        <w:gridCol w:w="2238"/>
      </w:tblGrid>
      <w:tr>
        <w:trPr>
          <w:tblHeader/>
        </w:trPr>
        <w:tc>
          <w:tcPr>
            <w:tcW w:type="dxa" w:w="158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الوحدة</w:t>
            </w:r>
          </w:p>
        </w:tc>
        <w:tc>
          <w:tcPr>
            <w:tcW w:type="dxa" w:w="153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العدد</w:t>
            </w:r>
          </w:p>
        </w:tc>
        <w:tc>
          <w:tcPr>
            <w:tcW w:type="dxa" w:w="400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مجالات التدريب</w:t>
            </w:r>
          </w:p>
        </w:tc>
        <w:tc>
          <w:tcPr>
            <w:tcW w:type="dxa" w:w="223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المستهدف</w:t>
            </w:r>
          </w:p>
        </w:tc>
      </w:tr>
      <w:tr>
        <w:trPr>
          <w:tblHeader w:val="false"/>
        </w:trPr>
        <w:tc>
          <w:tcPr>
            <w:tcW w:type="dxa" w:w="158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الحوكمة والمخاطر والالتزام</w:t>
            </w:r>
          </w:p>
        </w:tc>
        <w:tc>
          <w:tcPr>
            <w:tcW w:type="dxa" w:w="153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400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الحوكمة · تقييم المخاطر · التدقيق · أطر الهيئة الوطنية</w:t>
            </w:r>
          </w:p>
        </w:tc>
        <w:tc>
          <w:tcPr>
            <w:tcW w:type="dxa" w:w="223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شهادة احترافية واحدة على الأقل لكل فرد</w:t>
            </w:r>
          </w:p>
        </w:tc>
      </w:tr>
      <w:tr>
        <w:trPr>
          <w:tblHeader w:val="false"/>
        </w:trPr>
        <w:tc>
          <w:tcPr>
            <w:tcW w:type="dxa" w:w="158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مركز العمليات الأمنية</w:t>
            </w:r>
          </w:p>
        </w:tc>
        <w:tc>
          <w:tcPr>
            <w:tcW w:type="dxa" w:w="153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</w:t>
            </w:r>
          </w:p>
        </w:tc>
        <w:tc>
          <w:tcPr>
            <w:tcW w:type="dxa" w:w="400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تحليل السجلات · الاستجابة للحوادث · التحليل الجنائي الرقمي · المعلومات الاستباقية</w:t>
            </w:r>
          </w:p>
        </w:tc>
        <w:tc>
          <w:tcPr>
            <w:tcW w:type="dxa" w:w="223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شهادة احترافية + تدريب عملي سنوي</w:t>
            </w:r>
          </w:p>
        </w:tc>
      </w:tr>
      <w:tr>
        <w:trPr>
          <w:tblHeader w:val="false"/>
        </w:trPr>
        <w:tc>
          <w:tcPr>
            <w:tcW w:type="dxa" w:w="158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أمن التطبيقات</w:t>
            </w:r>
          </w:p>
        </w:tc>
        <w:tc>
          <w:tcPr>
            <w:tcW w:type="dxa" w:w="153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400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الاختبار الأمني للتطبيقات · مراجعة الكود · نمذجة التهديدات</w:t>
            </w:r>
          </w:p>
        </w:tc>
        <w:tc>
          <w:tcPr>
            <w:tcW w:type="dxa" w:w="223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شهادة متخصصة في أمن التطبيقات</w:t>
            </w:r>
          </w:p>
        </w:tc>
      </w:tr>
      <w:tr>
        <w:trPr>
          <w:tblHeader w:val="false"/>
        </w:trPr>
        <w:tc>
          <w:tcPr>
            <w:tcW w:type="dxa" w:w="158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أمن السحابة والبنية التحتية</w:t>
            </w:r>
          </w:p>
        </w:tc>
        <w:tc>
          <w:tcPr>
            <w:tcW w:type="dxa" w:w="153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400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أمن السحابة · التحصين · إدارة الثغرات</w:t>
            </w:r>
          </w:p>
        </w:tc>
        <w:tc>
          <w:tcPr>
            <w:tcW w:type="dxa" w:w="223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شهادة متخصصة في أمن السحابة</w:t>
            </w:r>
          </w:p>
        </w:tc>
      </w:tr>
      <w:tr>
        <w:trPr>
          <w:tblHeader w:val="false"/>
        </w:trPr>
        <w:tc>
          <w:tcPr>
            <w:tcW w:type="dxa" w:w="158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رئاسة الإدارة</w:t>
            </w:r>
          </w:p>
        </w:tc>
        <w:tc>
          <w:tcPr>
            <w:tcW w:type="dxa" w:w="153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400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القيادة · إدارة البرامج · التواصل مع الإدارة العليا</w:t>
            </w:r>
          </w:p>
        </w:tc>
        <w:tc>
          <w:tcPr>
            <w:tcW w:type="dxa" w:w="223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شهادة إدارية في الأمن السيبراني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ثانياً: المطوّرون ومشغّلو الأصول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872"/>
        <w:gridCol w:w="1622"/>
        <w:gridCol w:w="4243"/>
        <w:gridCol w:w="1623"/>
      </w:tblGrid>
      <w:tr>
        <w:trPr>
          <w:tblHeader/>
        </w:trPr>
        <w:tc>
          <w:tcPr>
            <w:tcW w:type="dxa" w:w="18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الفئة</w:t>
            </w:r>
          </w:p>
        </w:tc>
        <w:tc>
          <w:tcPr>
            <w:tcW w:type="dxa" w:w="162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العدد</w:t>
            </w:r>
          </w:p>
        </w:tc>
        <w:tc>
          <w:tcPr>
            <w:tcW w:type="dxa" w:w="424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مجالات التدريب</w:t>
            </w:r>
          </w:p>
        </w:tc>
        <w:tc>
          <w:tcPr>
            <w:tcW w:type="dxa" w:w="162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الدورية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مطوّرو البرامج والتطبيقات</w:t>
            </w:r>
          </w:p>
        </w:tc>
        <w:tc>
          <w:tcPr>
            <w:tcW w:type="dxa" w:w="162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٢١٤</w:t>
            </w:r>
          </w:p>
        </w:tc>
        <w:tc>
          <w:tcPr>
            <w:tcW w:type="dxa" w:w="42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التطوير الآمن · الثغرات الشائعة · أمن الواجهات البرمجية · التعامل مع نتائج الفحص</w:t>
            </w:r>
          </w:p>
        </w:tc>
        <w:tc>
          <w:tcPr>
            <w:tcW w:type="dxa" w:w="162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سنوي إلزامي</w:t>
            </w:r>
          </w:p>
        </w:tc>
      </w:tr>
      <w:tr>
        <w:trPr>
          <w:tblHeader w:val="false"/>
        </w:trPr>
        <w:tc>
          <w:tcPr>
            <w:tcW w:type="dxa" w:w="18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مهندسو البنية التحتية والسحابة</w:t>
            </w:r>
          </w:p>
        </w:tc>
        <w:tc>
          <w:tcPr>
            <w:tcW w:type="dxa" w:w="162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٣٨</w:t>
            </w:r>
          </w:p>
        </w:tc>
        <w:tc>
          <w:tcPr>
            <w:tcW w:type="dxa" w:w="42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التحصين · الإعدادات الآمنة · إدارة الهويات في السحابة</w:t>
            </w:r>
          </w:p>
        </w:tc>
        <w:tc>
          <w:tcPr>
            <w:tcW w:type="dxa" w:w="162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سنوي إلزامي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مشغّلو قواعد البيانات</w:t>
            </w:r>
          </w:p>
        </w:tc>
        <w:tc>
          <w:tcPr>
            <w:tcW w:type="dxa" w:w="162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١١</w:t>
            </w:r>
          </w:p>
        </w:tc>
        <w:tc>
          <w:tcPr>
            <w:tcW w:type="dxa" w:w="42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تأمين قواعد البيانات · التشفير · ضبط الصلاحيات</w:t>
            </w:r>
          </w:p>
        </w:tc>
        <w:tc>
          <w:tcPr>
            <w:tcW w:type="dxa" w:w="162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سنوي إلزامي</w:t>
            </w:r>
          </w:p>
        </w:tc>
      </w:tr>
      <w:tr>
        <w:trPr>
          <w:tblHeader w:val="false"/>
        </w:trPr>
        <w:tc>
          <w:tcPr>
            <w:tcW w:type="dxa" w:w="18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مهندسو الشبكات</w:t>
            </w:r>
          </w:p>
        </w:tc>
        <w:tc>
          <w:tcPr>
            <w:tcW w:type="dxa" w:w="162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</w:t>
            </w:r>
          </w:p>
        </w:tc>
        <w:tc>
          <w:tcPr>
            <w:tcW w:type="dxa" w:w="42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أمن الشبكات · التقسيم · قواعد جدار الحماية</w:t>
            </w:r>
          </w:p>
        </w:tc>
        <w:tc>
          <w:tcPr>
            <w:tcW w:type="dxa" w:w="162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سنوي إلزامي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قاعدة ملزِمة: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لا يُمنح مطوّر صلاحية الدمج في الفروع الرئيسية قبل إتمام تدريب التطوير الآمن.</w:t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ثالثاً: الوظائف الإشرافية والتنفيذية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295"/>
        <w:gridCol w:w="1530"/>
        <w:gridCol w:w="4003"/>
        <w:gridCol w:w="1532"/>
      </w:tblGrid>
      <w:tr>
        <w:trPr>
          <w:tblHeader/>
        </w:trPr>
        <w:tc>
          <w:tcPr>
            <w:tcW w:type="dxa" w:w="229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الفئة</w:t>
            </w:r>
          </w:p>
        </w:tc>
        <w:tc>
          <w:tcPr>
            <w:tcW w:type="dxa" w:w="153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العدد</w:t>
            </w:r>
          </w:p>
        </w:tc>
        <w:tc>
          <w:tcPr>
            <w:tcW w:type="dxa" w:w="400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مجالات التدريب</w:t>
            </w:r>
          </w:p>
        </w:tc>
        <w:tc>
          <w:tcPr>
            <w:tcW w:type="dxa" w:w="153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الدورية</w:t>
            </w:r>
          </w:p>
        </w:tc>
      </w:tr>
      <w:tr>
        <w:trPr>
          <w:tblHeader w:val="false"/>
        </w:trPr>
        <w:tc>
          <w:tcPr>
            <w:tcW w:type="dxa" w:w="229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 وأعضاء اللجنة الإشرافية</w:t>
            </w:r>
          </w:p>
        </w:tc>
        <w:tc>
          <w:tcPr>
            <w:tcW w:type="dxa" w:w="153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</w:t>
            </w:r>
          </w:p>
        </w:tc>
        <w:tc>
          <w:tcPr>
            <w:tcW w:type="dxa" w:w="400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حوكمة الأمن السيبراني · قراءة تقارير المخاطر · المسؤولية النظامية · إدارة الأزمات</w:t>
            </w:r>
          </w:p>
        </w:tc>
        <w:tc>
          <w:tcPr>
            <w:tcW w:type="dxa" w:w="15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سنوي</w:t>
            </w:r>
          </w:p>
        </w:tc>
      </w:tr>
      <w:tr>
        <w:trPr>
          <w:tblHeader w:val="false"/>
        </w:trPr>
        <w:tc>
          <w:tcPr>
            <w:tcW w:type="dxa" w:w="229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مديرو الإدارات</w:t>
            </w:r>
          </w:p>
        </w:tc>
        <w:tc>
          <w:tcPr>
            <w:tcW w:type="dxa" w:w="153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٣٠</w:t>
            </w:r>
          </w:p>
        </w:tc>
        <w:tc>
          <w:tcPr>
            <w:tcW w:type="dxa" w:w="400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مسؤوليات مالك الأصل ومالك المخاطرة · اعتماد الصلاحيات · التعامل مع الحوادث</w:t>
            </w:r>
          </w:p>
        </w:tc>
        <w:tc>
          <w:tcPr>
            <w:tcW w:type="dxa" w:w="15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سنوي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محتوى خاص للإدارة العليا: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الاحتيال الموجَّه للإدارة التنفيذية، وسيناريو اتخاذ القرار أثناء حادثة حرجة، والالتزامات التنظيمية والتعاقدية تجاه الجهات العميلة.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الميزانية والموارد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6115"/>
        <w:gridCol w:w="3245"/>
      </w:tblGrid>
      <w:tr>
        <w:trPr>
          <w:tblHeader/>
        </w:trPr>
        <w:tc>
          <w:tcPr>
            <w:tcW w:type="dxa" w:w="611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324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التقدير (ألف ريال)</w:t>
            </w:r>
          </w:p>
        </w:tc>
      </w:tr>
      <w:tr>
        <w:trPr>
          <w:tblHeader w:val="false"/>
        </w:trPr>
        <w:tc>
          <w:tcPr>
            <w:tcW w:type="dxa" w:w="611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شهادات احترافية لإدارة الأمن السيبراني — ١٤ شهادة</w:t>
            </w:r>
          </w:p>
        </w:tc>
        <w:tc>
          <w:tcPr>
            <w:tcW w:type="dxa" w:w="32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٦٢٠</w:t>
            </w:r>
          </w:p>
        </w:tc>
      </w:tr>
      <w:tr>
        <w:trPr>
          <w:tblHeader w:val="false"/>
        </w:trPr>
        <w:tc>
          <w:tcPr>
            <w:tcW w:type="dxa" w:w="611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تدريب التطوير الآمن — ٢١٤ مطوّراً</w:t>
            </w:r>
          </w:p>
        </w:tc>
        <w:tc>
          <w:tcPr>
            <w:tcW w:type="dxa" w:w="324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٢٨٥</w:t>
            </w:r>
          </w:p>
        </w:tc>
      </w:tr>
      <w:tr>
        <w:trPr>
          <w:tblHeader w:val="false"/>
        </w:trPr>
        <w:tc>
          <w:tcPr>
            <w:tcW w:type="dxa" w:w="611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تدريب مشغّلي الأصول — ٥٨ موظفاً</w:t>
            </w:r>
          </w:p>
        </w:tc>
        <w:tc>
          <w:tcPr>
            <w:tcW w:type="dxa" w:w="32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١٤٥</w:t>
            </w:r>
          </w:p>
        </w:tc>
      </w:tr>
      <w:tr>
        <w:trPr>
          <w:tblHeader w:val="false"/>
        </w:trPr>
        <w:tc>
          <w:tcPr>
            <w:tcW w:type="dxa" w:w="611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برامج الوظائف الإشرافية والتنفيذية — ٣٨</w:t>
            </w:r>
          </w:p>
        </w:tc>
        <w:tc>
          <w:tcPr>
            <w:tcW w:type="dxa" w:w="324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٥٠</w:t>
            </w:r>
          </w:p>
        </w:tc>
      </w:tr>
      <w:tr>
        <w:trPr>
          <w:tblHeader w:val="false"/>
        </w:trPr>
        <w:tc>
          <w:tcPr>
            <w:tcW w:type="dxa" w:w="611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الإجمالي السنوي</w:t>
            </w:r>
          </w:p>
        </w:tc>
        <w:tc>
          <w:tcPr>
            <w:tcW w:type="dxa" w:w="32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١,١٠٠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آلية التنفيذ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274"/>
        <w:gridCol w:w="3061"/>
        <w:gridCol w:w="4025"/>
      </w:tblGrid>
      <w:tr>
        <w:trPr>
          <w:tblHeader/>
        </w:trPr>
        <w:tc>
          <w:tcPr>
            <w:tcW w:type="dxa" w:w="227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306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الخطوة</w:t>
            </w:r>
          </w:p>
        </w:tc>
        <w:tc>
          <w:tcPr>
            <w:tcW w:type="dxa" w:w="402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المسؤول</w:t>
            </w:r>
          </w:p>
        </w:tc>
      </w:tr>
      <w:tr>
        <w:trPr>
          <w:tblHeader w:val="false"/>
        </w:trPr>
        <w:tc>
          <w:tcPr>
            <w:tcW w:type="dxa" w:w="227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306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تحديد احتياجات التدريب لكل دور</w:t>
            </w:r>
          </w:p>
        </w:tc>
        <w:tc>
          <w:tcPr>
            <w:tcW w:type="dxa" w:w="402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 · المديرون المباشرون</w:t>
            </w:r>
          </w:p>
        </w:tc>
      </w:tr>
      <w:tr>
        <w:trPr>
          <w:tblHeader w:val="false"/>
        </w:trPr>
        <w:tc>
          <w:tcPr>
            <w:tcW w:type="dxa" w:w="227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306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إعداد خطة التدريب السنوية واعتمادها</w:t>
            </w:r>
          </w:p>
        </w:tc>
        <w:tc>
          <w:tcPr>
            <w:tcW w:type="dxa" w:w="402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الموارد البشرية</w:t>
            </w:r>
          </w:p>
        </w:tc>
      </w:tr>
      <w:tr>
        <w:trPr>
          <w:tblHeader w:val="false"/>
        </w:trPr>
        <w:tc>
          <w:tcPr>
            <w:tcW w:type="dxa" w:w="227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306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اختيار البرامج والجهات المقدِّمة</w:t>
            </w:r>
          </w:p>
        </w:tc>
        <w:tc>
          <w:tcPr>
            <w:tcW w:type="dxa" w:w="402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الموارد البشرية بتوصية فنية من الأمن السيبراني</w:t>
            </w:r>
          </w:p>
        </w:tc>
      </w:tr>
      <w:tr>
        <w:trPr>
          <w:tblHeader w:val="false"/>
        </w:trPr>
        <w:tc>
          <w:tcPr>
            <w:tcW w:type="dxa" w:w="227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306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التنفيذ والمتابعة</w:t>
            </w:r>
          </w:p>
        </w:tc>
        <w:tc>
          <w:tcPr>
            <w:tcW w:type="dxa" w:w="402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الموارد البشرية</w:t>
            </w:r>
          </w:p>
        </w:tc>
      </w:tr>
      <w:tr>
        <w:trPr>
          <w:tblHeader w:val="false"/>
        </w:trPr>
        <w:tc>
          <w:tcPr>
            <w:tcW w:type="dxa" w:w="227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</w:t>
            </w:r>
          </w:p>
        </w:tc>
        <w:tc>
          <w:tcPr>
            <w:tcW w:type="dxa" w:w="306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حفظ الشهادات في الملفات الوظيفية</w:t>
            </w:r>
          </w:p>
        </w:tc>
        <w:tc>
          <w:tcPr>
            <w:tcW w:type="dxa" w:w="402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الموارد البشرية</w:t>
            </w:r>
          </w:p>
        </w:tc>
      </w:tr>
      <w:tr>
        <w:trPr>
          <w:tblHeader w:val="false"/>
        </w:trPr>
        <w:tc>
          <w:tcPr>
            <w:tcW w:type="dxa" w:w="227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</w:t>
            </w:r>
          </w:p>
        </w:tc>
        <w:tc>
          <w:tcPr>
            <w:tcW w:type="dxa" w:w="306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قياس الأثر على الأداء</w:t>
            </w:r>
          </w:p>
        </w:tc>
        <w:tc>
          <w:tcPr>
            <w:tcW w:type="dxa" w:w="402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المدير المباشر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المحافظة على الشهادات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588"/>
        <w:gridCol w:w="6772"/>
      </w:tblGrid>
      <w:tr>
        <w:trPr>
          <w:tblHeader/>
        </w:trPr>
        <w:tc>
          <w:tcPr>
            <w:tcW w:type="dxa" w:w="258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المتطلب</w:t>
            </w:r>
          </w:p>
        </w:tc>
        <w:tc>
          <w:tcPr>
            <w:tcW w:type="dxa" w:w="67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التفصيل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التجديد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تتحمل الشركة تكلفة تجديد الشهادات المرتبطة بالدور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ساعات التعليم المستمر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تُتاح للموظف ساعات عمل مخصصة لاستيفاء متطلبات التجديد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الارتباط بالدور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تنتهي مسؤولية الشركة عن التجديد عند انتقال الموظف لدور لا يتطلب الشهادة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قياس الأثر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5014"/>
        <w:gridCol w:w="2172"/>
        <w:gridCol w:w="2174"/>
      </w:tblGrid>
      <w:tr>
        <w:trPr>
          <w:tblHeader/>
        </w:trPr>
        <w:tc>
          <w:tcPr>
            <w:tcW w:type="dxa" w:w="501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المؤشر</w:t>
            </w:r>
          </w:p>
        </w:tc>
        <w:tc>
          <w:tcPr>
            <w:tcW w:type="dxa" w:w="21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خط الأساس</w:t>
            </w:r>
          </w:p>
        </w:tc>
        <w:tc>
          <w:tcPr>
            <w:tcW w:type="dxa" w:w="217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المستهدف</w:t>
            </w:r>
          </w:p>
        </w:tc>
      </w:tr>
      <w:tr>
        <w:trPr>
          <w:tblHeader w:val="false"/>
        </w:trPr>
        <w:tc>
          <w:tcPr>
            <w:tcW w:type="dxa" w:w="501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نسبة العاملين في الأمن السيبراني الحاصلين على شهادة احترافية</w:t>
            </w:r>
          </w:p>
        </w:tc>
        <w:tc>
          <w:tcPr>
            <w:tcW w:type="dxa" w:w="21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٤٣%</w:t>
            </w:r>
          </w:p>
        </w:tc>
        <w:tc>
          <w:tcPr>
            <w:tcW w:type="dxa" w:w="217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501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نسبة المطوّرين المدرَّبين على التطوير الآمن</w:t>
            </w:r>
          </w:p>
        </w:tc>
        <w:tc>
          <w:tcPr>
            <w:tcW w:type="dxa" w:w="21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  <w:tc>
          <w:tcPr>
            <w:tcW w:type="dxa" w:w="217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501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نسبة شاغلي الوظائف الإشرافية المدرَّبين</w:t>
            </w:r>
          </w:p>
        </w:tc>
        <w:tc>
          <w:tcPr>
            <w:tcW w:type="dxa" w:w="21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  <w:tc>
          <w:tcPr>
            <w:tcW w:type="dxa" w:w="217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501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متوسط عدد ثغرات الكود لكل ألف سطر بعد التدريب</w:t>
            </w:r>
          </w:p>
        </w:tc>
        <w:tc>
          <w:tcPr>
            <w:tcW w:type="dxa" w:w="21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خط الأساس</w:t>
            </w:r>
          </w:p>
        </w:tc>
        <w:tc>
          <w:tcPr>
            <w:tcW w:type="dxa" w:w="217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انخفاض ٣٠%</w:t>
            </w:r>
          </w:p>
        </w:tc>
      </w:tr>
      <w:tr>
        <w:trPr>
          <w:tblHeader w:val="false"/>
        </w:trPr>
        <w:tc>
          <w:tcPr>
            <w:tcW w:type="dxa" w:w="501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نسبة الإصدارات المتوقفة بسبب ثغرات في الكود</w:t>
            </w:r>
          </w:p>
        </w:tc>
        <w:tc>
          <w:tcPr>
            <w:tcW w:type="dxa" w:w="21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٣.١%</w:t>
            </w:r>
          </w:p>
        </w:tc>
        <w:tc>
          <w:tcPr>
            <w:tcW w:type="dxa" w:w="217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أقل من ١.٥%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المؤشران الأخيران مقصودان: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التدريب الذي لا ينعكس على جودة المخرجات لم يحقق غرضه، وربطه بمؤشرات إنتاجية يحوّله من نشاط إداري إلى استثمار قابل للقياس.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المراجعة والتحديث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تُراجَع هذه الخطة سنوياً، وعند تغيّر الأدوار أو ظهور تقنيات جديدة في بيئة الشركة. وتُوثَّق التغييرات وتُعتمد من صاحب الصلاحية.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سجل التغييرات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الإصدار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التغيير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المعتمِد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١.٠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الإصدار الأول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الاعتماد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931"/>
        <w:gridCol w:w="3565"/>
        <w:gridCol w:w="1931"/>
        <w:gridCol w:w="1933"/>
      </w:tblGrid>
      <w:tr>
        <w:trPr>
          <w:tblHeader/>
        </w:trPr>
        <w:tc>
          <w:tcPr>
            <w:tcW w:type="dxa" w:w="193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</w:t>
            </w:r>
          </w:p>
        </w:tc>
        <w:tc>
          <w:tcPr>
            <w:tcW w:type="dxa" w:w="356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الاسم</w:t>
            </w:r>
          </w:p>
        </w:tc>
        <w:tc>
          <w:tcPr>
            <w:tcW w:type="dxa" w:w="193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التوقيع</w:t>
            </w:r>
          </w:p>
        </w:tc>
        <w:tc>
          <w:tcPr>
            <w:tcW w:type="dxa" w:w="193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</w:tr>
      <w:tr>
        <w:trPr>
          <w:tblHeader w:val="false"/>
        </w:trPr>
        <w:tc>
          <w:tcPr>
            <w:tcW w:type="dxa" w:w="19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أُعدّت بواسطة</w:t>
            </w:r>
          </w:p>
        </w:tc>
        <w:tc>
          <w:tcPr>
            <w:tcW w:type="dxa" w:w="356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لمياء القحطاني — مدير الموارد البشرية</w:t>
            </w:r>
          </w:p>
        </w:tc>
        <w:tc>
          <w:tcPr>
            <w:tcW w:type="dxa" w:w="19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93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3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رُوجعت بواسطة</w:t>
            </w:r>
          </w:p>
        </w:tc>
        <w:tc>
          <w:tcPr>
            <w:tcW w:type="dxa" w:w="356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ريم الشهري — رئيس الأمن السيبراني</w:t>
            </w:r>
          </w:p>
        </w:tc>
        <w:tc>
          <w:tcPr>
            <w:tcW w:type="dxa" w:w="193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93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اعتُمدت بواسطة</w:t>
            </w:r>
          </w:p>
        </w:tc>
        <w:tc>
          <w:tcPr>
            <w:tcW w:type="dxa" w:w="356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بدر العتيبي — الرئيس التنفيذي · صاحب الصلاحية</w:t>
            </w:r>
          </w:p>
        </w:tc>
        <w:tc>
          <w:tcPr>
            <w:tcW w:type="dxa" w:w="19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93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تنويه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شركة نَسَق وجميع البيانات والأسماء والأرقام الواردة في هذه الوثيقة افتراضية، وأُعدّت لأغراض التدريب على تطبيق الضوابط الأساسية للأمن السيبراني.</w:t>
      </w:r>
    </w:p>
    <w:sectPr>
      <w:headerReference w:type="default" r:id="rId9"/>
      <w:footerReference w:type="default" r:id="rId10"/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داخلي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CS-PLN-005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داخلي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CS-PLN-005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E3" w:sz="2" w:space="6"/>
      </w:pBdr>
      <w:bidi/>
      <w:jc w:val="start"/>
    </w:pPr>
    <w:r>
      <w:rPr>
        <w:rFonts w:ascii="Arial" w:cs="Arial" w:eastAsia="Arial" w:hAnsi="Arial"/>
        <w:b/>
        <w:bCs/>
        <w:color w:val="15325C"/>
        <w:sz w:val="16"/>
        <w:szCs w:val="16"/>
        <w:rtl/>
      </w:rPr>
      <w:t xml:space="preserve">شركة نَسَق للحلول الرقمية — إدارة الأمن السيبراني</w:t>
    </w:r>
    <w:r>
      <w:rPr>
        <w:rFonts w:ascii="Arial" w:cs="Arial" w:eastAsia="Arial" w:hAnsi="Arial"/>
        <w:color w:val="5A6672"/>
        <w:sz w:val="16"/>
        <w:szCs w:val="16"/>
      </w:rPr>
      <w:t xml:space="preserve">	CS-PLN-005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2026-10-04T11:48:02.487Z</dcterms:created>
  <dcterms:modified xsi:type="dcterms:W3CDTF">2026-10-04T11:48:02.487Z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