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ميثاق عمل</w:t>
            </w:r>
          </w:p>
          <w:p>
            <w:pPr>
              <w:bidi/>
              <w:spacing w:after="120" w:before="0" w:line="420"/>
              <w:jc w:val="start"/>
            </w:pPr>
            <w:r>
              <w:rPr>
                <w:rFonts w:ascii="Arial" w:cs="Arial" w:eastAsia="Arial" w:hAnsi="Arial"/>
                <w:b/>
                <w:bCs/>
                <w:color w:val="FFFFFF"/>
                <w:sz w:val="52"/>
                <w:szCs w:val="52"/>
                <w:rtl/>
              </w:rPr>
              <w:t xml:space="preserve">ميثاق اللجنة الإشرافية للأمن السيبراني</w:t>
            </w:r>
          </w:p>
          <w:p>
            <w:pPr>
              <w:bidi/>
              <w:spacing w:after="260" w:before="0" w:line="300"/>
              <w:jc w:val="start"/>
            </w:pPr>
            <w:r>
              <w:rPr>
                <w:rFonts w:ascii="Arial" w:cs="Arial" w:eastAsia="Arial" w:hAnsi="Arial"/>
                <w:b w:val="false"/>
                <w:bCs w:val="false"/>
                <w:color w:val="AFC4D4"/>
                <w:sz w:val="22"/>
                <w:szCs w:val="22"/>
                <w:rtl/>
              </w:rPr>
              <w:t xml:space="preserve">التشكيل · المهام · حدود الصلاحية · لائحة الأعمال · نموذج محضر</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CS-DOC-003</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وحدة الحوكمة والمخاطر والالتزام</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1-2-3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ميثاق اللجنة الإشرافية للأمن السيبراني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الميثاق تشكيل اللجنة الإشرافية للأمن السيبراني في شركة نَسَق للحلول الرقمية ومرجعيتها ومهامها وآلية عملها، ويُعدّ مخرَجاً من حزمة العمل WP-08.</w:t>
      </w:r>
    </w:p>
    <w:p>
      <w:pPr>
        <w:pStyle w:val="Heading2"/>
        <w:bidi/>
        <w:spacing w:after="120" w:before="280" w:line="300"/>
        <w:jc w:val="start"/>
      </w:pPr>
      <w:r>
        <w:rPr>
          <w:rFonts w:ascii="Arial" w:cs="Arial" w:eastAsia="Arial" w:hAnsi="Arial"/>
          <w:b/>
          <w:bCs/>
          <w:color w:val="15325C"/>
          <w:sz w:val="27"/>
          <w:szCs w:val="27"/>
          <w:rtl/>
        </w:rPr>
        <w:t xml:space="preserve">بيانات اللجنة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862"/>
        <w:gridCol w:w="5498"/>
      </w:tblGrid>
      <w:tr>
        <w:trPr>
          <w:tblHeader/>
        </w:trPr>
        <w:tc>
          <w:tcPr>
            <w:tcW w:type="dxa" w:w="38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549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البيان</w:t>
            </w:r>
          </w:p>
        </w:tc>
      </w:tr>
      <w:tr>
        <w:trPr>
          <w:tblHeader w:val="false"/>
        </w:trPr>
        <w:tc>
          <w:tcPr>
            <w:tcW w:type="dxa" w:w="38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اسم اللجنة</w:t>
            </w:r>
          </w:p>
        </w:tc>
        <w:tc>
          <w:tcPr>
            <w:tcW w:type="dxa" w:w="549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 للأمن السيبراني</w:t>
            </w:r>
          </w:p>
        </w:tc>
      </w:tr>
      <w:tr>
        <w:trPr>
          <w:tblHeader w:val="false"/>
        </w:trPr>
        <w:tc>
          <w:tcPr>
            <w:tcW w:type="dxa" w:w="38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تاريخ الإنشاء</w:t>
            </w:r>
          </w:p>
        </w:tc>
        <w:tc>
          <w:tcPr>
            <w:tcW w:type="dxa" w:w="549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r>
      <w:tr>
        <w:trPr>
          <w:tblHeader w:val="false"/>
        </w:trPr>
        <w:tc>
          <w:tcPr>
            <w:tcW w:type="dxa" w:w="38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أداة الإنشاء</w:t>
            </w:r>
          </w:p>
        </w:tc>
        <w:tc>
          <w:tcPr>
            <w:tcW w:type="dxa" w:w="549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قرار الرئيس التنفيذي رقم CEO-1448-014</w:t>
            </w:r>
          </w:p>
        </w:tc>
      </w:tr>
      <w:tr>
        <w:trPr>
          <w:tblHeader w:val="false"/>
        </w:trPr>
        <w:tc>
          <w:tcPr>
            <w:tcW w:type="dxa" w:w="38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المرجعية</w:t>
            </w:r>
          </w:p>
        </w:tc>
        <w:tc>
          <w:tcPr>
            <w:tcW w:type="dxa" w:w="549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 — صاحب الصلاحية</w:t>
            </w:r>
          </w:p>
        </w:tc>
      </w:tr>
      <w:tr>
        <w:trPr>
          <w:tblHeader w:val="false"/>
        </w:trPr>
        <w:tc>
          <w:tcPr>
            <w:tcW w:type="dxa" w:w="38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 المرتبط</w:t>
            </w:r>
          </w:p>
        </w:tc>
        <w:tc>
          <w:tcPr>
            <w:tcW w:type="dxa" w:w="549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١-٢-٣</w:t>
            </w:r>
          </w:p>
        </w:tc>
      </w:tr>
      <w:tr>
        <w:trPr>
          <w:tblHeader w:val="false"/>
        </w:trPr>
        <w:tc>
          <w:tcPr>
            <w:tcW w:type="dxa" w:w="38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مدة الدورة</w:t>
            </w:r>
          </w:p>
        </w:tc>
        <w:tc>
          <w:tcPr>
            <w:tcW w:type="dxa" w:w="549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سنتان قابلة للتجديد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المرجعية التنظيمية</w:t>
      </w:r>
    </w:p>
    <w:p>
      <w:pPr>
        <w:bidi/>
        <w:spacing w:after="140" w:before="0" w:line="300"/>
        <w:jc w:val="start"/>
      </w:pPr>
      <w:r>
        <w:rPr>
          <w:rFonts w:ascii="Arial" w:cs="Arial" w:eastAsia="Arial" w:hAnsi="Arial"/>
          <w:b w:val="false"/>
          <w:bCs w:val="false"/>
          <w:color w:val="16202A"/>
          <w:sz w:val="21"/>
          <w:szCs w:val="21"/>
          <w:rtl/>
        </w:rPr>
        <w:t xml:space="preserve">ترتبط اللجنة بالرئيس التنفيذي مباشرة، وترفع تقاريرها إليه وإلى لجنة المخاطر والالتزام المنبثقة عن مجلس الإدارة. ولا تتبع اللجنة أي إدارة تنفيذية، حفاظاً على استقلالية قراراتها عن الإدارات التي تشرف على أعمالها.</w:t>
      </w:r>
    </w:p>
    <w:p>
      <w:pPr>
        <w:pStyle w:val="Heading2"/>
        <w:bidi/>
        <w:spacing w:after="120" w:before="280" w:line="300"/>
        <w:jc w:val="start"/>
      </w:pPr>
      <w:r>
        <w:rPr>
          <w:rFonts w:ascii="Arial" w:cs="Arial" w:eastAsia="Arial" w:hAnsi="Arial"/>
          <w:b/>
          <w:bCs/>
          <w:color w:val="15325C"/>
          <w:sz w:val="27"/>
          <w:szCs w:val="27"/>
          <w:rtl/>
        </w:rPr>
        <w:t xml:space="preserve">التشكيل</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295"/>
        <w:gridCol w:w="4768"/>
        <w:gridCol w:w="2297"/>
      </w:tblGrid>
      <w:tr>
        <w:trPr>
          <w:tblHeader/>
        </w:trPr>
        <w:tc>
          <w:tcPr>
            <w:tcW w:type="dxa" w:w="229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العضوية</w:t>
            </w:r>
          </w:p>
        </w:tc>
        <w:tc>
          <w:tcPr>
            <w:tcW w:type="dxa" w:w="476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المنصب</w:t>
            </w:r>
          </w:p>
        </w:tc>
        <w:tc>
          <w:tcPr>
            <w:tcW w:type="dxa" w:w="22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الصفة</w:t>
            </w:r>
          </w:p>
        </w:tc>
      </w:tr>
      <w:tr>
        <w:trPr>
          <w:tblHeader w:val="false"/>
        </w:trPr>
        <w:tc>
          <w:tcPr>
            <w:tcW w:type="dxa" w:w="22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اللجنة</w:t>
            </w:r>
          </w:p>
        </w:tc>
        <w:tc>
          <w:tcPr>
            <w:tcW w:type="dxa" w:w="47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2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رئيساً</w:t>
            </w:r>
          </w:p>
        </w:tc>
      </w:tr>
      <w:tr>
        <w:trPr>
          <w:tblHeader w:val="false"/>
        </w:trPr>
        <w:tc>
          <w:tcPr>
            <w:tcW w:type="dxa" w:w="22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نائب رئيس اللجنة</w:t>
            </w:r>
          </w:p>
        </w:tc>
        <w:tc>
          <w:tcPr>
            <w:tcW w:type="dxa" w:w="47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2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نائباً ومقرراً</w:t>
            </w:r>
          </w:p>
        </w:tc>
      </w:tr>
      <w:tr>
        <w:trPr>
          <w:tblHeader w:val="false"/>
        </w:trPr>
        <w:tc>
          <w:tcPr>
            <w:tcW w:type="dxa" w:w="22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w:t>
            </w:r>
          </w:p>
        </w:tc>
        <w:tc>
          <w:tcPr>
            <w:tcW w:type="dxa" w:w="47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طلال الحربي — مدير الهندسة والتطوير</w:t>
            </w:r>
          </w:p>
        </w:tc>
        <w:tc>
          <w:tcPr>
            <w:tcW w:type="dxa" w:w="22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عضواً</w:t>
            </w:r>
          </w:p>
        </w:tc>
      </w:tr>
      <w:tr>
        <w:trPr>
          <w:tblHeader w:val="false"/>
        </w:trPr>
        <w:tc>
          <w:tcPr>
            <w:tcW w:type="dxa" w:w="22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w:t>
            </w:r>
          </w:p>
        </w:tc>
        <w:tc>
          <w:tcPr>
            <w:tcW w:type="dxa" w:w="47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عمر البلوي — مدير العمليات السحابية والبنية التحتية</w:t>
            </w:r>
          </w:p>
        </w:tc>
        <w:tc>
          <w:tcPr>
            <w:tcW w:type="dxa" w:w="22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عضواً</w:t>
            </w:r>
          </w:p>
        </w:tc>
      </w:tr>
      <w:tr>
        <w:trPr>
          <w:tblHeader w:val="false"/>
        </w:trPr>
        <w:tc>
          <w:tcPr>
            <w:tcW w:type="dxa" w:w="22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w:t>
            </w:r>
          </w:p>
        </w:tc>
        <w:tc>
          <w:tcPr>
            <w:tcW w:type="dxa" w:w="47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لمياء القحطاني — مدير الموارد البشرية</w:t>
            </w:r>
          </w:p>
        </w:tc>
        <w:tc>
          <w:tcPr>
            <w:tcW w:type="dxa" w:w="22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عضواً</w:t>
            </w:r>
          </w:p>
        </w:tc>
      </w:tr>
      <w:tr>
        <w:trPr>
          <w:tblHeader w:val="false"/>
        </w:trPr>
        <w:tc>
          <w:tcPr>
            <w:tcW w:type="dxa" w:w="22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w:t>
            </w:r>
          </w:p>
        </w:tc>
        <w:tc>
          <w:tcPr>
            <w:tcW w:type="dxa" w:w="47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الشؤون القانونية</w:t>
            </w:r>
          </w:p>
        </w:tc>
        <w:tc>
          <w:tcPr>
            <w:tcW w:type="dxa" w:w="22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عضواً</w:t>
            </w:r>
          </w:p>
        </w:tc>
      </w:tr>
      <w:tr>
        <w:trPr>
          <w:tblHeader w:val="false"/>
        </w:trPr>
        <w:tc>
          <w:tcPr>
            <w:tcW w:type="dxa" w:w="22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w:t>
            </w:r>
          </w:p>
        </w:tc>
        <w:tc>
          <w:tcPr>
            <w:tcW w:type="dxa" w:w="47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إدارة المنتجات</w:t>
            </w:r>
          </w:p>
        </w:tc>
        <w:tc>
          <w:tcPr>
            <w:tcW w:type="dxa" w:w="22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عضواً</w:t>
            </w:r>
          </w:p>
        </w:tc>
      </w:tr>
      <w:tr>
        <w:trPr>
          <w:tblHeader w:val="false"/>
        </w:trPr>
        <w:tc>
          <w:tcPr>
            <w:tcW w:type="dxa" w:w="22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حضور بصفة مراقب</w:t>
            </w:r>
          </w:p>
        </w:tc>
        <w:tc>
          <w:tcPr>
            <w:tcW w:type="dxa" w:w="47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خالد المطيري — مدير المراجعة الداخلية</w:t>
            </w:r>
          </w:p>
        </w:tc>
        <w:tc>
          <w:tcPr>
            <w:tcW w:type="dxa" w:w="22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مراقباً دون حق تصويت</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ملاحظة تنظيمية:</w:t>
      </w:r>
      <w:r>
        <w:rPr>
          <w:rFonts w:ascii="Arial" w:cs="Arial" w:eastAsia="Arial" w:hAnsi="Arial"/>
          <w:b w:val="false"/>
          <w:bCs w:val="false"/>
          <w:color w:val="16202A"/>
          <w:sz w:val="21"/>
          <w:szCs w:val="21"/>
          <w:rtl/>
        </w:rPr>
        <w:t xml:space="preserve"> عضوية مديري الهندسة والعمليات السحابية ليست شكلية. أغلب قرارات الأمن السيبراني تُنفَّذ في إدارتيهما، ومشاركتهما في القرار تقلّل مقاومة التنفيذ لاحقاً.</w:t>
      </w:r>
    </w:p>
    <w:p>
      <w:pPr>
        <w:pStyle w:val="Heading2"/>
        <w:bidi/>
        <w:spacing w:after="120" w:before="280" w:line="300"/>
        <w:jc w:val="start"/>
      </w:pPr>
      <w:r>
        <w:rPr>
          <w:rFonts w:ascii="Arial" w:cs="Arial" w:eastAsia="Arial" w:hAnsi="Arial"/>
          <w:b/>
          <w:bCs/>
          <w:color w:val="15325C"/>
          <w:sz w:val="27"/>
          <w:szCs w:val="27"/>
          <w:rtl/>
        </w:rPr>
        <w:t xml:space="preserve">المهام والصلاحيات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المهمة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استراتيجية الأمن السيبراني والتوصية باعتمادها وبتحديثاتها</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متابعة تنفيذ خطة عمل الاستراتيجية وحالة المبادرات وإزالة العوائق</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سجل مخاطر الأمن السيبراني والبتّ في المخاطر المصنّفة عالية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نتائج التدقيق الداخلي والخارجي ومتابعة إغلاق الملاحظات</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اعتماد قبول المخاطر ضمن الحدود المخوَّلة لها في منهجية إدارة المخاطر</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تقارير الحوادث الحرجة والدروس المستفادة منها</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نسبة الالتزام بالضوابط الأساسية ومؤشرات الأداء</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التوصية بالموارد والميزانيات اللازمة لبرنامج الأمن السيبراني</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المخالفات الجوهرية لسياسات الأمن السيبراني والتوصية بشأنها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حدود الصلاحية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381"/>
        <w:gridCol w:w="4979"/>
      </w:tblGrid>
      <w:tr>
        <w:trPr>
          <w:tblHeader/>
        </w:trPr>
        <w:tc>
          <w:tcPr>
            <w:tcW w:type="dxa" w:w="438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القرار</w:t>
            </w:r>
          </w:p>
        </w:tc>
        <w:tc>
          <w:tcPr>
            <w:tcW w:type="dxa" w:w="497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جهة البتّ</w:t>
            </w:r>
          </w:p>
        </w:tc>
      </w:tr>
      <w:tr>
        <w:trPr>
          <w:tblHeader w:val="false"/>
        </w:trPr>
        <w:tc>
          <w:tcPr>
            <w:tcW w:type="dxa" w:w="438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قبول مخاطرة متوسطة</w:t>
            </w:r>
          </w:p>
        </w:tc>
        <w:tc>
          <w:tcPr>
            <w:tcW w:type="dxa" w:w="497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r>
        <w:trPr>
          <w:tblHeader w:val="false"/>
        </w:trPr>
        <w:tc>
          <w:tcPr>
            <w:tcW w:type="dxa" w:w="438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قبول مخاطرة عالية على أصل داخلي</w:t>
            </w:r>
          </w:p>
        </w:tc>
        <w:tc>
          <w:tcPr>
            <w:tcW w:type="dxa" w:w="497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w:t>
            </w:r>
          </w:p>
        </w:tc>
      </w:tr>
      <w:tr>
        <w:trPr>
          <w:tblHeader w:val="false"/>
        </w:trPr>
        <w:tc>
          <w:tcPr>
            <w:tcW w:type="dxa" w:w="438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قبول مخاطرة عالية على نظام مستضاف لجهة عميلة</w:t>
            </w:r>
          </w:p>
        </w:tc>
        <w:tc>
          <w:tcPr>
            <w:tcW w:type="dxa" w:w="497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مسموح — تُصعَّد للرئيس التنفيذي مع إشعار الجهة</w:t>
            </w:r>
          </w:p>
        </w:tc>
      </w:tr>
      <w:tr>
        <w:trPr>
          <w:tblHeader w:val="false"/>
        </w:trPr>
        <w:tc>
          <w:tcPr>
            <w:tcW w:type="dxa" w:w="438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قبول مخاطرة حرجة</w:t>
            </w:r>
          </w:p>
        </w:tc>
        <w:tc>
          <w:tcPr>
            <w:tcW w:type="dxa" w:w="497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مسموح</w:t>
            </w:r>
          </w:p>
        </w:tc>
      </w:tr>
      <w:tr>
        <w:trPr>
          <w:tblHeader w:val="false"/>
        </w:trPr>
        <w:tc>
          <w:tcPr>
            <w:tcW w:type="dxa" w:w="438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اعتماد الوثائق الحاكمة</w:t>
            </w:r>
          </w:p>
        </w:tc>
        <w:tc>
          <w:tcPr>
            <w:tcW w:type="dxa" w:w="497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 بتوصية اللجنة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لائحة الأعمال</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القاعدة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الدورية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اجتماع ربع سنوي كحد أدنى</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الاجتماع الاستثنائي</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بطلب من رئيس اللجنة أو رئيس الأمن السيبراني، أو عقب حادثة مصنّفة حرجة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النصاب</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حضور رئيس اللجنة أو نائبه وثلاثة أعضاء على الأقل</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جدول الأعمال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يُعمَّم قبل خمسة أيام عمل من الاجتماع</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القرارات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بالأغلبية، ولرئيس اللجنة الترجيح عند التساوي</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المحاضر</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تُوثَّق وتُعمَّم خلال خمسة أيام عمل، وتُعتمد في الاجتماع التالي</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المتابعة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يُفتتح كل اجتماع بمتابعة قرارات الاجتماع السابق</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الأمانة</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السرية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مداولات اللجنة ووثائقها مصنّفة سرية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جدول الأعمال الثابت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897"/>
        <w:gridCol w:w="6463"/>
      </w:tblGrid>
      <w:tr>
        <w:trPr>
          <w:tblHeader/>
        </w:trPr>
        <w:tc>
          <w:tcPr>
            <w:tcW w:type="dxa" w:w="28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646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r>
      <w:tr>
        <w:trPr>
          <w:tblHeader w:val="false"/>
        </w:trPr>
        <w:tc>
          <w:tcPr>
            <w:tcW w:type="dxa" w:w="28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64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متابعة قرارات الاجتماع السابق</w:t>
            </w:r>
          </w:p>
        </w:tc>
      </w:tr>
      <w:tr>
        <w:trPr>
          <w:tblHeader w:val="false"/>
        </w:trPr>
        <w:tc>
          <w:tcPr>
            <w:tcW w:type="dxa" w:w="28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64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الالتزام بالضوابط الأساسية والتغيّر عن الفترة السابقة</w:t>
            </w:r>
          </w:p>
        </w:tc>
      </w:tr>
      <w:tr>
        <w:trPr>
          <w:tblHeader w:val="false"/>
        </w:trPr>
        <w:tc>
          <w:tcPr>
            <w:tcW w:type="dxa" w:w="28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64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حالة المبادرات والمشاريع والعوائق</w:t>
            </w:r>
          </w:p>
        </w:tc>
      </w:tr>
      <w:tr>
        <w:trPr>
          <w:tblHeader w:val="false"/>
        </w:trPr>
        <w:tc>
          <w:tcPr>
            <w:tcW w:type="dxa" w:w="28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64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المخاطر: الجديدة والمتغيّرة والمتجاوزة مواعيدها</w:t>
            </w:r>
          </w:p>
        </w:tc>
      </w:tr>
      <w:tr>
        <w:trPr>
          <w:tblHeader w:val="false"/>
        </w:trPr>
        <w:tc>
          <w:tcPr>
            <w:tcW w:type="dxa" w:w="28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64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الحوادث السيبرانية والدروس المستفادة</w:t>
            </w:r>
          </w:p>
        </w:tc>
      </w:tr>
      <w:tr>
        <w:trPr>
          <w:tblHeader w:val="false"/>
        </w:trPr>
        <w:tc>
          <w:tcPr>
            <w:tcW w:type="dxa" w:w="28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64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نتائج المراجعات والتدقيق وحالة الملاحظات</w:t>
            </w:r>
          </w:p>
        </w:tc>
      </w:tr>
      <w:tr>
        <w:trPr>
          <w:tblHeader w:val="false"/>
        </w:trPr>
        <w:tc>
          <w:tcPr>
            <w:tcW w:type="dxa" w:w="28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64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القرارات المطلوبة</w:t>
            </w:r>
          </w:p>
        </w:tc>
      </w:tr>
      <w:tr>
        <w:trPr>
          <w:tblHeader w:val="false"/>
        </w:trPr>
        <w:tc>
          <w:tcPr>
            <w:tcW w:type="dxa" w:w="28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64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 يستجد من أعمال</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نموذج محضر اجتماع</w:t>
      </w:r>
    </w:p>
    <w:tbl>
      <w:tblPr>
        <w:bidiVisual/>
        <w:tblW w:type="dxa" w:w="9360"/>
        <w:tblBorders>
          <w:top w:val="none"/>
          <w:left w:val="none"/>
          <w:bottom w:val="none"/>
          <w:right w:val="single" w:color="15325C" w:sz="18"/>
          <w:insideH w:val="single" w:color="auto" w:sz="4"/>
          <w:insideV w:val="single" w:color="auto" w:sz="4"/>
        </w:tblBorders>
      </w:tblPr>
      <w:tblGrid>
        <w:gridCol w:w="9360"/>
      </w:tblGrid>
      <w:tr>
        <w:tc>
          <w:tcPr>
            <w:tcW w:type="dxa" w:w="9360"/>
            <w:tcBorders>
              <w:top w:val="none"/>
              <w:left w:val="none"/>
              <w:bottom w:val="none"/>
              <w:right w:val="single" w:color="15325C" w:sz="18"/>
            </w:tcBorders>
            <w:shd w:fill="F2F7F8" w:color="auto" w:val="clear"/>
            <w:tcMar>
              <w:top w:type="dxa" w:w="160"/>
              <w:left w:type="dxa" w:w="200"/>
              <w:bottom w:type="dxa" w:w="160"/>
              <w:right w:type="dxa" w:w="200"/>
            </w:tcMar>
          </w:tcPr>
          <w:p>
            <w:pPr>
              <w:bidi/>
              <w:spacing w:after="0" w:before="0" w:line="300"/>
              <w:jc w:val="start"/>
            </w:pPr>
            <w:r>
              <w:rPr>
                <w:rFonts w:ascii="Arial" w:cs="Arial" w:eastAsia="Arial" w:hAnsi="Arial"/>
                <w:b w:val="false"/>
                <w:bCs w:val="false"/>
                <w:color w:val="0C1F3D"/>
                <w:sz w:val="20"/>
                <w:szCs w:val="20"/>
                <w:rtl/>
              </w:rPr>
              <w:t xml:space="preserve">نموذج معبَّأ من الاجتماع الأول يوضح طريقة التوثيق.</w:t>
            </w:r>
          </w:p>
        </w:tc>
      </w:tr>
    </w:tbl>
    <w:p>
      <w:pPr>
        <w:bidi/>
        <w:spacing w:after="100" w:before="0" w:line="300"/>
        <w:jc w:val="start"/>
      </w:pPr>
      <w:r>
        <w:rPr>
          <w:rFonts w:ascii="Arial" w:cs="Arial" w:eastAsia="Arial" w:hAnsi="Arial"/>
          <w:b w:val="false"/>
          <w:bCs w:val="false"/>
          <w:color w:val="16202A"/>
          <w:sz w:val="8"/>
          <w:szCs w:val="8"/>
          <w:rtl/>
        </w:rPr>
        <w:t xml:space="preserve"/>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البيان</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رقم المحضر</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SC-1448-001</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التاريخ</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الآخر ١٤٤٨هـ</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الحضور</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اللجنة · نائب الرئيس · مدير الهندسة · مدير العمليات السحابية · مدير الموارد البشرية · مدير المراجعة الداخلية بصفة مراقب</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الغياب</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الشؤون القانونية بعذر · مدير إدارة المنتجات بعذر</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النصاب</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مكتمل</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القرارات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666"/>
        <w:gridCol w:w="4359"/>
        <w:gridCol w:w="1666"/>
        <w:gridCol w:w="1669"/>
      </w:tblGrid>
      <w:tr>
        <w:trPr>
          <w:tblHeader/>
        </w:trPr>
        <w:tc>
          <w:tcPr>
            <w:tcW w:type="dxa" w:w="166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435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القرار</w:t>
            </w:r>
          </w:p>
        </w:tc>
        <w:tc>
          <w:tcPr>
            <w:tcW w:type="dxa" w:w="166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المالك</w:t>
            </w:r>
          </w:p>
        </w:tc>
        <w:tc>
          <w:tcPr>
            <w:tcW w:type="dxa" w:w="166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الموعد</w:t>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435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التوصية باعتماد استراتيجية الأمن السيبراني CS-STR-001</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16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فوري</w:t>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435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اعتماد سجل مخاطر الأمن السيبراني بستّ عشرة مخاطرة</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16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فوري</w:t>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435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الموافقة على إنهاء التعاقد مع مقدّم خدمات المراقبة عند انقضاء مهلة التسعين يوماً</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الشؤون القانونية</w:t>
            </w:r>
          </w:p>
        </w:tc>
        <w:tc>
          <w:tcPr>
            <w:tcW w:type="dxa" w:w="16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٩٠ يوماً</w:t>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435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تقديم إجراءات شراء حلول المرحلة الثالثة إلى الشهر السادس</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المشتريات</w:t>
            </w:r>
          </w:p>
        </w:tc>
        <w:tc>
          <w:tcPr>
            <w:tcW w:type="dxa" w:w="16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٦٠ يوماً</w:t>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435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رفع توصية بإضافة وظيفتين لفريق الأمن السيبراني</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w:t>
            </w:r>
          </w:p>
        </w:tc>
        <w:tc>
          <w:tcPr>
            <w:tcW w:type="dxa" w:w="16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٤٥ يوماً</w:t>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435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عدم قبول أي مخاطرة حرجة، وإلزام الملّاك بخطط معالجة خلال ثلاثين يوماً</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جميع الملّاك</w:t>
            </w:r>
          </w:p>
        </w:tc>
        <w:tc>
          <w:tcPr>
            <w:tcW w:type="dxa" w:w="16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يوماً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الملاحظات المسجَّلة</w:t>
      </w:r>
    </w:p>
    <w:p>
      <w:pPr>
        <w:bidi/>
        <w:spacing w:after="140" w:before="0" w:line="300"/>
        <w:jc w:val="start"/>
      </w:pPr>
      <w:r>
        <w:rPr>
          <w:rFonts w:ascii="Arial" w:cs="Arial" w:eastAsia="Arial" w:hAnsi="Arial"/>
          <w:b w:val="false"/>
          <w:bCs w:val="false"/>
          <w:color w:val="16202A"/>
          <w:sz w:val="21"/>
          <w:szCs w:val="21"/>
          <w:rtl/>
        </w:rPr>
        <w:t xml:space="preserve">اعترض مدير الهندسة والتطوير على جدولة الفحص الأمني الإلزامي على جميع خطوط النشر دفعةً واحدة لأثره على وتيرة الإصدار. وقُرّر تطبيقه تدريجياً على ثلاث دفعات خلال ستين يوماً، مع قياس أثره على زمن الإصدار ورفع النتيجة للاجتماع القادم.</w:t>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الميثاق سنوياً على الأقل، وعند تغيّر الهيكل التنظيمي للشركة.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CS-DOC-003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CS-DOC-003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CS-DOC-003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2026-10-04T11:48:00.321Z</dcterms:created>
  <dcterms:modified xsi:type="dcterms:W3CDTF">2026-10-04T11:48:00.321Z</dcterms:modified>
</cp:coreProperties>
</file>

<file path=docProps/custom.xml><?xml version="1.0" encoding="utf-8"?>
<Properties xmlns="http://schemas.openxmlformats.org/officeDocument/2006/custom-properties" xmlns:vt="http://schemas.openxmlformats.org/officeDocument/2006/docPropsVTypes"/>
</file>