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0C1F3D" w:color="auto" w:val="clear"/>
            <w:tcMar>
              <w:top w:type="dxa" w:w="340"/>
              <w:left w:type="dxa" w:w="340"/>
              <w:bottom w:type="dxa" w:w="340"/>
              <w:right w:type="dxa" w:w="340"/>
            </w:tcMar>
          </w:tcPr>
          <w:p>
            <w:pPr>
              <w:bidi/>
              <w:spacing w:after="40" w:before="0" w:line="300"/>
              <w:jc w:val="start"/>
            </w:pPr>
            <w:r>
              <w:rPr>
                <w:rFonts w:ascii="Arial" w:cs="Arial" w:eastAsia="Arial" w:hAnsi="Arial"/>
                <w:b/>
                <w:bCs/>
                <w:color w:val="FFFFFF"/>
                <w:sz w:val="30"/>
                <w:szCs w:val="30"/>
                <w:rtl/>
              </w:rPr>
              <w:t xml:space="preserve">شركة نَسَق للحلول الرقمية</w:t>
            </w:r>
          </w:p>
          <w:p>
            <w:pPr>
              <w:bidi/>
              <w:spacing w:after="30" w:before="0" w:line="300"/>
              <w:jc w:val="start"/>
            </w:pPr>
            <w:r>
              <w:rPr>
                <w:rFonts w:ascii="Arial" w:cs="Arial" w:eastAsia="Arial" w:hAnsi="Arial"/>
                <w:b w:val="false"/>
                <w:bCs w:val="false"/>
                <w:color w:val="9FB6C9"/>
                <w:sz w:val="18"/>
                <w:szCs w:val="18"/>
                <w:rtl/>
              </w:rPr>
              <w:t xml:space="preserve">إدارة الأمن السيبراني</w:t>
            </w:r>
          </w:p>
          <w:p>
            <w:pPr>
              <w:bidi/>
              <w:spacing w:after="700" w:before="0" w:line="300"/>
              <w:jc w:val="start"/>
            </w:pPr>
            <w:r>
              <w:rPr>
                <w:rFonts w:ascii="Arial" w:cs="Arial" w:eastAsia="Arial" w:hAnsi="Arial"/>
                <w:color w:val="6E8CA6"/>
                <w:sz w:val="14"/>
                <w:szCs w:val="14"/>
              </w:rPr>
              <w:t xml:space="preserve">NASAQ DIGITAL SOLUTIONS CO</w:t>
            </w:r>
          </w:p>
          <w:p>
            <w:pPr>
              <w:bidi/>
              <w:spacing w:after="90" w:before="0" w:line="300"/>
              <w:jc w:val="start"/>
            </w:pPr>
            <w:r>
              <w:rPr>
                <w:rFonts w:ascii="Arial" w:cs="Arial" w:eastAsia="Arial" w:hAnsi="Arial"/>
                <w:b w:val="false"/>
                <w:bCs w:val="false"/>
                <w:color w:val="C9A227"/>
                <w:sz w:val="19"/>
                <w:szCs w:val="19"/>
                <w:rtl/>
              </w:rPr>
              <w:t xml:space="preserve">معيار تقني</w:t>
            </w:r>
          </w:p>
          <w:p>
            <w:pPr>
              <w:bidi/>
              <w:spacing w:after="120" w:before="0" w:line="420"/>
              <w:jc w:val="start"/>
            </w:pPr>
            <w:r>
              <w:rPr>
                <w:rFonts w:ascii="Arial" w:cs="Arial" w:eastAsia="Arial" w:hAnsi="Arial"/>
                <w:b/>
                <w:bCs/>
                <w:color w:val="FFFFFF"/>
                <w:sz w:val="52"/>
                <w:szCs w:val="52"/>
                <w:rtl/>
              </w:rPr>
              <w:t xml:space="preserve">معيار الأمن السيبراني في إدارة المشاريع ودورة تطوير البرمجيات</w:t>
            </w:r>
          </w:p>
          <w:p>
            <w:pPr>
              <w:bidi/>
              <w:spacing w:after="260" w:before="0" w:line="300"/>
              <w:jc w:val="start"/>
            </w:pPr>
            <w:r>
              <w:rPr>
                <w:rFonts w:ascii="Arial" w:cs="Arial" w:eastAsia="Arial" w:hAnsi="Arial"/>
                <w:b w:val="false"/>
                <w:bCs w:val="false"/>
                <w:color w:val="AFC4D4"/>
                <w:sz w:val="22"/>
                <w:szCs w:val="22"/>
                <w:rtl/>
              </w:rPr>
              <w:t xml:space="preserve">دورة حياة المشروع · التطوير الآمن · المكتبات · أمن التكامل</w:t>
            </w:r>
          </w:p>
          <w:p>
            <w:pPr>
              <w:bidi/>
              <w:spacing w:after="0" w:before="0" w:line="300"/>
              <w:jc w:val="start"/>
            </w:pPr>
            <w:r>
              <w:rPr>
                <w:rFonts w:ascii="Arial" w:cs="Arial" w:eastAsia="Arial" w:hAnsi="Arial"/>
                <w:b/>
                <w:bCs/>
                <w:color w:val="C9A227"/>
                <w:sz w:val="18"/>
                <w:szCs w:val="18"/>
                <w:rtl/>
              </w:rPr>
              <w:t xml:space="preserve">تصنيف الوثيقة: سري</w:t>
            </w:r>
          </w:p>
        </w:tc>
      </w:tr>
    </w:tbl>
    <w:p>
      <w:pPr>
        <w:bidi/>
        <w:spacing w:after="260" w:before="0" w:line="300"/>
        <w:jc w:val="start"/>
      </w:pPr>
      <w:r>
        <w:rPr>
          <w:rFonts w:ascii="Arial" w:cs="Arial" w:eastAsia="Arial" w:hAnsi="Arial"/>
          <w:b w:val="false"/>
          <w:bCs w:val="false"/>
          <w:color w:val="16202A"/>
          <w:sz w:val="12"/>
          <w:szCs w:val="12"/>
          <w:rtl/>
        </w:rPr>
        <w:t xml:space="preserve"/>
      </w:r>
    </w:p>
    <w:tbl>
      <w:tblPr>
        <w:bidiVisual/>
        <w:tblW w:type="dxa" w:w="9360"/>
        <w:tblBorders>
          <w:top w:val="none"/>
          <w:left w:val="none"/>
          <w:bottom w:val="none"/>
          <w:right w:val="none"/>
          <w:insideH w:val="single" w:color="D8E0E3" w:sz="2"/>
          <w:insideV w:val="none"/>
        </w:tblBorders>
      </w:tblPr>
      <w:tblGrid>
        <w:gridCol w:w="3400"/>
        <w:gridCol w:w="5960"/>
      </w:tblGrid>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رقم الوثيقة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CS-STD-014</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رقم الإصدار</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1.0</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مالك الوثيقة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مدير الهندسة والتطوير</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جهة الاعتماد</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الرئيس التنفيذي — صاحب الصلاحية</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تاريخ الاعتماد</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١ ربيع الأول ١٤٤٨هـ</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تاريخ المراجعة القادمة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١ ربيع الأول ١٤٤٩هـ</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الضابط المرتبط</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ECC-2:2024 — 1-6-1 · 1-6-2 · 1-6-3</w:t>
            </w:r>
          </w:p>
        </w:tc>
      </w:tr>
    </w:tbl>
    <w:p>
      <w:pPr>
        <w:bidi/>
        <w:spacing w:after="360" w:before="0" w:line="300"/>
        <w:jc w:val="start"/>
      </w:pPr>
      <w:r>
        <w:rPr>
          <w:rFonts w:ascii="Arial" w:cs="Arial" w:eastAsia="Arial" w:hAnsi="Arial"/>
          <w:b w:val="false"/>
          <w:bCs w:val="false"/>
          <w:color w:val="16202A"/>
          <w:sz w:val="12"/>
          <w:szCs w:val="12"/>
          <w:rtl/>
        </w:rPr>
        <w:t xml:space="preserve"/>
      </w:r>
    </w:p>
    <w:p>
      <w:pPr>
        <w:bidi/>
        <w:spacing w:after="0" w:before="0" w:line="300"/>
        <w:jc w:val="start"/>
      </w:pPr>
      <w:r>
        <w:rPr>
          <w:rFonts w:ascii="Arial" w:cs="Arial" w:eastAsia="Arial" w:hAnsi="Arial"/>
          <w:b w:val="false"/>
          <w:bCs w:val="false"/>
          <w:color w:val="5A6672"/>
          <w:sz w:val="16"/>
          <w:szCs w:val="16"/>
          <w:rtl/>
        </w:rPr>
        <w:t xml:space="preserve">هذه الوثيقة ملكية فكرية لـ شركة نَسَق للحلول الرقمية، وتصنيفها «سري». لا يجوز نسخها أو تداولها خارج الشركة دون موافقة خطية من مالك الوثيقة.</w:t>
      </w:r>
    </w:p>
    <w:p>
      <w:pPr>
        <w:sectPr>
          <w:headerReference w:type="default" r:id="rId7"/>
          <w:footerReference w:type="default" r:id="rId8"/>
          <w:pgSz w:w="11906" w:h="16838" w:orient="portrait"/>
          <w:pgMar w:top="1000" w:right="1080" w:bottom="900" w:left="1080" w:header="708" w:footer="708" w:gutter="0"/>
          <w:pgNumType/>
          <w:docGrid w:linePitch="360"/>
        </w:sectPr>
      </w:pPr>
    </w:p>
    <w:p>
      <w:pPr>
        <w:pStyle w:val="Heading1"/>
        <w:bidi/>
        <w:spacing w:after="200" w:before="0" w:line="300"/>
        <w:jc w:val="start"/>
      </w:pPr>
      <w:r>
        <w:rPr>
          <w:rFonts w:ascii="Arial" w:cs="Arial" w:eastAsia="Arial" w:hAnsi="Arial"/>
          <w:b/>
          <w:bCs/>
          <w:color w:val="15325C"/>
          <w:sz w:val="32"/>
          <w:szCs w:val="32"/>
          <w:rtl/>
        </w:rPr>
        <w:t xml:space="preserve">معيار الأمن السيبراني في إدارة المشاريع والتغيير ودورة تطوير البرمجيات</w:t>
      </w:r>
    </w:p>
    <w:p>
      <w:pPr>
        <w:pStyle w:val="Heading2"/>
        <w:bidi/>
        <w:spacing w:after="120" w:before="280" w:line="300"/>
        <w:jc w:val="start"/>
      </w:pPr>
      <w:r>
        <w:rPr>
          <w:rFonts w:ascii="Arial" w:cs="Arial" w:eastAsia="Arial" w:hAnsi="Arial"/>
          <w:b/>
          <w:bCs/>
          <w:color w:val="15325C"/>
          <w:sz w:val="27"/>
          <w:szCs w:val="27"/>
          <w:rtl/>
        </w:rPr>
        <w:t xml:space="preserve">الغرض</w:t>
      </w:r>
    </w:p>
    <w:p>
      <w:pPr>
        <w:bidi/>
        <w:spacing w:after="140" w:before="0" w:line="300"/>
        <w:jc w:val="start"/>
      </w:pPr>
      <w:r>
        <w:rPr>
          <w:rFonts w:ascii="Arial" w:cs="Arial" w:eastAsia="Arial" w:hAnsi="Arial"/>
          <w:b w:val="false"/>
          <w:bCs w:val="false"/>
          <w:color w:val="16202A"/>
          <w:sz w:val="21"/>
          <w:szCs w:val="21"/>
          <w:rtl/>
        </w:rPr>
        <w:t xml:space="preserve">يحدد هذا المعيار متطلبات الأمن السيبراني الواجب استيفاؤها في مشاريع شركة نَسَق للحلول الرقمية والتغييرات على أصولها، وفي دورة تطوير البرمجيات، بحيث يُبنى الأمن داخل المنتج لا يُضاف إليه بعد إنجازه، ويُعدّ مخرَجاً من حزمة العمل WP-19.</w:t>
      </w:r>
    </w:p>
    <w:p>
      <w:pPr>
        <w:pStyle w:val="Heading2"/>
        <w:bidi/>
        <w:spacing w:after="120" w:before="280" w:line="300"/>
        <w:jc w:val="start"/>
      </w:pPr>
      <w:r>
        <w:rPr>
          <w:rFonts w:ascii="Arial" w:cs="Arial" w:eastAsia="Arial" w:hAnsi="Arial"/>
          <w:b/>
          <w:bCs/>
          <w:color w:val="15325C"/>
          <w:sz w:val="27"/>
          <w:szCs w:val="27"/>
          <w:rtl/>
        </w:rPr>
        <w:t xml:space="preserve">النطاق</w:t>
      </w:r>
    </w:p>
    <w:p>
      <w:pPr>
        <w:bidi/>
        <w:spacing w:after="140" w:before="0" w:line="300"/>
        <w:jc w:val="start"/>
      </w:pPr>
      <w:r>
        <w:rPr>
          <w:rFonts w:ascii="Arial" w:cs="Arial" w:eastAsia="Arial" w:hAnsi="Arial"/>
          <w:b w:val="false"/>
          <w:bCs w:val="false"/>
          <w:color w:val="16202A"/>
          <w:sz w:val="21"/>
          <w:szCs w:val="21"/>
          <w:rtl/>
        </w:rPr>
        <w:t xml:space="preserve">جميع المشاريع المعلوماتية والتقنية، والتغييرات على الأصول، ومشاريع تطوير التطبيقات، وخطوط البناء والنشر الثلاثة والعشرين، وواجهات التكامل مع الجهات العميلة والأطراف الخارجية.</w:t>
      </w:r>
    </w:p>
    <w:p>
      <w:pPr>
        <w:pStyle w:val="Heading2"/>
        <w:bidi/>
        <w:spacing w:after="120" w:before="280" w:line="300"/>
        <w:jc w:val="start"/>
      </w:pPr>
      <w:r>
        <w:rPr>
          <w:rFonts w:ascii="Arial" w:cs="Arial" w:eastAsia="Arial" w:hAnsi="Arial"/>
          <w:b/>
          <w:bCs/>
          <w:color w:val="15325C"/>
          <w:sz w:val="27"/>
          <w:szCs w:val="27"/>
          <w:rtl/>
        </w:rPr>
        <w:t xml:space="preserve">المرجعية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4212"/>
        <w:gridCol w:w="5148"/>
      </w:tblGrid>
      <w:tr>
        <w:trPr>
          <w:tblHeader/>
        </w:trPr>
        <w:tc>
          <w:tcPr>
            <w:tcW w:type="dxa" w:w="421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المرجع</w:t>
            </w:r>
          </w:p>
        </w:tc>
        <w:tc>
          <w:tcPr>
            <w:tcW w:type="dxa" w:w="514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العلاقة</w:t>
            </w:r>
          </w:p>
        </w:tc>
      </w:tr>
      <w:tr>
        <w:trPr>
          <w:tblHeader w:val="false"/>
        </w:trPr>
        <w:tc>
          <w:tcPr>
            <w:tcW w:type="dxa" w:w="421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ECC-2:2024 — المكوّن الفرعي ١-٦</w:t>
            </w:r>
          </w:p>
        </w:tc>
        <w:tc>
          <w:tcPr>
            <w:tcW w:type="dxa" w:w="514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الضوابط التي يستوفيها هذا المعيار</w:t>
            </w:r>
          </w:p>
        </w:tc>
      </w:tr>
      <w:tr>
        <w:trPr>
          <w:tblHeader w:val="false"/>
        </w:trPr>
        <w:tc>
          <w:tcPr>
            <w:tcW w:type="dxa" w:w="421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معيار تحصين الأنظمة CS-STD-012</w:t>
            </w:r>
          </w:p>
        </w:tc>
        <w:tc>
          <w:tcPr>
            <w:tcW w:type="dxa" w:w="514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مراجعة الإعدادات والتحصين قبل الإطلاق</w:t>
            </w:r>
          </w:p>
        </w:tc>
      </w:tr>
      <w:tr>
        <w:trPr>
          <w:tblHeader w:val="false"/>
        </w:trPr>
        <w:tc>
          <w:tcPr>
            <w:tcW w:type="dxa" w:w="421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معيار إدارة الثغرات CS-STD-008</w:t>
            </w:r>
          </w:p>
        </w:tc>
        <w:tc>
          <w:tcPr>
            <w:tcW w:type="dxa" w:w="514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تقييم ومعالجة الثغرات في دورة المشروع</w:t>
            </w:r>
          </w:p>
        </w:tc>
      </w:tr>
      <w:tr>
        <w:trPr>
          <w:tblHeader w:val="false"/>
        </w:trPr>
        <w:tc>
          <w:tcPr>
            <w:tcW w:type="dxa" w:w="421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معيار حماية تطبيقات الويب CS-STD-010</w:t>
            </w:r>
          </w:p>
        </w:tc>
        <w:tc>
          <w:tcPr>
            <w:tcW w:type="dxa" w:w="514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بوابات الإطلاق الأمنية</w:t>
            </w:r>
          </w:p>
        </w:tc>
      </w:tr>
      <w:tr>
        <w:trPr>
          <w:tblHeader w:val="false"/>
        </w:trPr>
        <w:tc>
          <w:tcPr>
            <w:tcW w:type="dxa" w:w="421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إجراءات إدارة المخاطر CS-PRO-001</w:t>
            </w:r>
          </w:p>
        </w:tc>
        <w:tc>
          <w:tcPr>
            <w:tcW w:type="dxa" w:w="514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الحالتان الأولى والرابعة الإلزاميتان للتقييم</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المبدأ الحاكم</w:t>
      </w:r>
    </w:p>
    <w:p>
      <w:pPr>
        <w:bidi/>
        <w:spacing w:after="140" w:before="0" w:line="300"/>
        <w:jc w:val="start"/>
      </w:pPr>
      <w:r>
        <w:rPr>
          <w:rFonts w:ascii="Arial" w:cs="Arial" w:eastAsia="Arial" w:hAnsi="Arial"/>
          <w:b/>
          <w:bCs/>
          <w:color w:val="15325C"/>
          <w:sz w:val="21"/>
          <w:szCs w:val="21"/>
          <w:rtl/>
        </w:rPr>
        <w:t xml:space="preserve">الضابط المدمج في خط النشر يُنفَّذ دائماً، والضابط المفروض يدوياً يُتجاوَز عند الضغط.</w:t>
      </w:r>
      <w:r>
        <w:rPr>
          <w:rFonts w:ascii="Arial" w:cs="Arial" w:eastAsia="Arial" w:hAnsi="Arial"/>
          <w:b w:val="false"/>
          <w:bCs w:val="false"/>
          <w:color w:val="16202A"/>
          <w:sz w:val="21"/>
          <w:szCs w:val="21"/>
          <w:rtl/>
        </w:rPr>
        <w:t xml:space="preserve"> لذلك تُؤتمت جميع الفحوص الممكنة داخل خطوط البناء والنشر بدل الاعتماد على مراجعات يدوية قبل الإطلاق.</w:t>
      </w:r>
    </w:p>
    <w:p>
      <w:pPr>
        <w:pStyle w:val="Heading2"/>
        <w:bidi/>
        <w:spacing w:after="120" w:before="280" w:line="300"/>
        <w:jc w:val="start"/>
      </w:pPr>
      <w:r>
        <w:rPr>
          <w:rFonts w:ascii="Arial" w:cs="Arial" w:eastAsia="Arial" w:hAnsi="Arial"/>
          <w:b/>
          <w:bCs/>
          <w:color w:val="15325C"/>
          <w:sz w:val="27"/>
          <w:szCs w:val="27"/>
          <w:rtl/>
        </w:rPr>
        <w:t xml:space="preserve">أولاً: الأمن السيبراني في دورة حياة المشروع</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028"/>
        <w:gridCol w:w="5304"/>
        <w:gridCol w:w="2028"/>
      </w:tblGrid>
      <w:tr>
        <w:trPr>
          <w:tblHeader/>
        </w:trPr>
        <w:tc>
          <w:tcPr>
            <w:tcW w:type="dxa" w:w="202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المرحلة</w:t>
            </w:r>
          </w:p>
        </w:tc>
        <w:tc>
          <w:tcPr>
            <w:tcW w:type="dxa" w:w="530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المتطلب</w:t>
            </w:r>
          </w:p>
        </w:tc>
        <w:tc>
          <w:tcPr>
            <w:tcW w:type="dxa" w:w="202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المخرج</w:t>
            </w:r>
          </w:p>
        </w:tc>
      </w:tr>
      <w:tr>
        <w:trPr>
          <w:tblHeader w:val="false"/>
        </w:trPr>
        <w:tc>
          <w:tcPr>
            <w:tcW w:type="dxa" w:w="202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الفكرة والتخطيط</w:t>
            </w:r>
          </w:p>
        </w:tc>
        <w:tc>
          <w:tcPr>
            <w:tcW w:type="dxa" w:w="530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تقييم مخاطر مبكر قبل اعتماد التصميم الفني</w:t>
            </w:r>
          </w:p>
        </w:tc>
        <w:tc>
          <w:tcPr>
            <w:tcW w:type="dxa" w:w="202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تقرير تقييم مخاطر المشروع</w:t>
            </w:r>
          </w:p>
        </w:tc>
      </w:tr>
      <w:tr>
        <w:trPr>
          <w:tblHeader w:val="false"/>
        </w:trPr>
        <w:tc>
          <w:tcPr>
            <w:tcW w:type="dxa" w:w="202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التصميم</w:t>
            </w:r>
          </w:p>
        </w:tc>
        <w:tc>
          <w:tcPr>
            <w:tcW w:type="dxa" w:w="530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مراجعة أمنية للتصميم ونمذجة التهديدات للمشاريع الحرجة</w:t>
            </w:r>
          </w:p>
        </w:tc>
        <w:tc>
          <w:tcPr>
            <w:tcW w:type="dxa" w:w="202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محضر مراجعة التصميم</w:t>
            </w:r>
          </w:p>
        </w:tc>
      </w:tr>
      <w:tr>
        <w:trPr>
          <w:tblHeader w:val="false"/>
        </w:trPr>
        <w:tc>
          <w:tcPr>
            <w:tcW w:type="dxa" w:w="202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التطوير</w:t>
            </w:r>
          </w:p>
        </w:tc>
        <w:tc>
          <w:tcPr>
            <w:tcW w:type="dxa" w:w="530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تطبيق معايير التطوير الآمن · فحص آلي مستمر</w:t>
            </w:r>
          </w:p>
        </w:tc>
        <w:tc>
          <w:tcPr>
            <w:tcW w:type="dxa" w:w="202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تقارير الفحص</w:t>
            </w:r>
          </w:p>
        </w:tc>
      </w:tr>
      <w:tr>
        <w:trPr>
          <w:tblHeader w:val="false"/>
        </w:trPr>
        <w:tc>
          <w:tcPr>
            <w:tcW w:type="dxa" w:w="202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الاختبار</w:t>
            </w:r>
          </w:p>
        </w:tc>
        <w:tc>
          <w:tcPr>
            <w:tcW w:type="dxa" w:w="530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اختبارات أمنية للتحقق من استيفاء المتطلبات</w:t>
            </w:r>
          </w:p>
        </w:tc>
        <w:tc>
          <w:tcPr>
            <w:tcW w:type="dxa" w:w="202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تقرير الاختبارات الأمنية</w:t>
            </w:r>
          </w:p>
        </w:tc>
      </w:tr>
      <w:tr>
        <w:trPr>
          <w:tblHeader w:val="false"/>
        </w:trPr>
        <w:tc>
          <w:tcPr>
            <w:tcW w:type="dxa" w:w="202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ما قبل الإطلاق</w:t>
            </w:r>
          </w:p>
        </w:tc>
        <w:tc>
          <w:tcPr>
            <w:tcW w:type="dxa" w:w="530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مراجعة الإعدادات والتحصين وحزم التحديثات · إغلاق الثغرات الحرجة والعالية</w:t>
            </w:r>
          </w:p>
        </w:tc>
        <w:tc>
          <w:tcPr>
            <w:tcW w:type="dxa" w:w="202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تقرير جاهزية الإطلاق</w:t>
            </w:r>
          </w:p>
        </w:tc>
      </w:tr>
      <w:tr>
        <w:trPr>
          <w:tblHeader w:val="false"/>
        </w:trPr>
        <w:tc>
          <w:tcPr>
            <w:tcW w:type="dxa" w:w="202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الإطلاق</w:t>
            </w:r>
          </w:p>
        </w:tc>
        <w:tc>
          <w:tcPr>
            <w:tcW w:type="dxa" w:w="530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تقييم مخاطر الإطلاق واعتماده</w:t>
            </w:r>
          </w:p>
        </w:tc>
        <w:tc>
          <w:tcPr>
            <w:tcW w:type="dxa" w:w="202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قرار إطلاق موثق</w:t>
            </w:r>
          </w:p>
        </w:tc>
      </w:tr>
      <w:tr>
        <w:trPr>
          <w:tblHeader w:val="false"/>
        </w:trPr>
        <w:tc>
          <w:tcPr>
            <w:tcW w:type="dxa" w:w="202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بعد الإطلاق</w:t>
            </w:r>
          </w:p>
        </w:tc>
        <w:tc>
          <w:tcPr>
            <w:tcW w:type="dxa" w:w="530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مراجعة دورية للإعدادات والتحصين</w:t>
            </w:r>
          </w:p>
        </w:tc>
        <w:tc>
          <w:tcPr>
            <w:tcW w:type="dxa" w:w="202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تقارير المراجعة الدورية</w:t>
            </w:r>
          </w:p>
        </w:tc>
      </w:tr>
    </w:tbl>
    <w:p>
      <w:pPr>
        <w:bidi/>
        <w:spacing w:after="100" w:before="0" w:line="300"/>
        <w:jc w:val="start"/>
      </w:pPr>
      <w:r>
        <w:rPr>
          <w:rFonts w:ascii="Arial" w:cs="Arial" w:eastAsia="Arial" w:hAnsi="Arial"/>
          <w:b w:val="false"/>
          <w:bCs w:val="false"/>
          <w:color w:val="16202A"/>
          <w:sz w:val="8"/>
          <w:szCs w:val="8"/>
          <w:rtl/>
        </w:rPr>
        <w:t xml:space="preserve"/>
      </w:r>
    </w:p>
    <w:p>
      <w:pPr>
        <w:bidi/>
        <w:spacing w:after="140" w:before="0" w:line="300"/>
        <w:jc w:val="start"/>
      </w:pPr>
      <w:r>
        <w:rPr>
          <w:rFonts w:ascii="Arial" w:cs="Arial" w:eastAsia="Arial" w:hAnsi="Arial"/>
          <w:b/>
          <w:bCs/>
          <w:color w:val="15325C"/>
          <w:sz w:val="21"/>
          <w:szCs w:val="21"/>
          <w:rtl/>
        </w:rPr>
        <w:t xml:space="preserve">قاعدة توقف:</w:t>
      </w:r>
      <w:r>
        <w:rPr>
          <w:rFonts w:ascii="Arial" w:cs="Arial" w:eastAsia="Arial" w:hAnsi="Arial"/>
          <w:b w:val="false"/>
          <w:bCs w:val="false"/>
          <w:color w:val="16202A"/>
          <w:sz w:val="21"/>
          <w:szCs w:val="21"/>
          <w:rtl/>
        </w:rPr>
        <w:t xml:space="preserve"> لا يُعتمد التصميم الفني لأي مشروع قبل اعتماد خطة معالجة مخاطره الحرجة والعالية، ولا يُطلق مشروع قبل إغلاق ثغراته الحرجة والعالية.</w:t>
      </w:r>
    </w:p>
    <w:p>
      <w:pPr>
        <w:pStyle w:val="Heading2"/>
        <w:bidi/>
        <w:spacing w:after="120" w:before="280" w:line="300"/>
        <w:jc w:val="start"/>
      </w:pPr>
      <w:r>
        <w:rPr>
          <w:rFonts w:ascii="Arial" w:cs="Arial" w:eastAsia="Arial" w:hAnsi="Arial"/>
          <w:b/>
          <w:bCs/>
          <w:color w:val="15325C"/>
          <w:sz w:val="27"/>
          <w:szCs w:val="27"/>
          <w:rtl/>
        </w:rPr>
        <w:t xml:space="preserve">ثانياً: إدارة التغيير</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588"/>
        <w:gridCol w:w="6772"/>
      </w:tblGrid>
      <w:tr>
        <w:trPr>
          <w:tblHeader/>
        </w:trPr>
        <w:tc>
          <w:tcPr>
            <w:tcW w:type="dxa" w:w="258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نوع التغيير</w:t>
            </w:r>
          </w:p>
        </w:tc>
        <w:tc>
          <w:tcPr>
            <w:tcW w:type="dxa" w:w="677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المتطلب</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تغيير جوهري</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تقييم مخاطر مرفق بطلب التغيير · مراجعة إعدادات وتحصين · خطة تراجع مختبَرة</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تغيير معتاد</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فحص آلي في خط النشر · مراجعة أقران للكود</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تغيير طارئ</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تنفيذ فوري مع توثيق لاحق خلال يوم عمل ومراجعة أمنية بأثر رجعي</w:t>
            </w:r>
          </w:p>
        </w:tc>
      </w:tr>
    </w:tbl>
    <w:p>
      <w:pPr>
        <w:bidi/>
        <w:spacing w:after="100" w:before="0" w:line="300"/>
        <w:jc w:val="start"/>
      </w:pPr>
      <w:r>
        <w:rPr>
          <w:rFonts w:ascii="Arial" w:cs="Arial" w:eastAsia="Arial" w:hAnsi="Arial"/>
          <w:b w:val="false"/>
          <w:bCs w:val="false"/>
          <w:color w:val="16202A"/>
          <w:sz w:val="8"/>
          <w:szCs w:val="8"/>
          <w:rtl/>
        </w:rPr>
        <w:t xml:space="preserve"/>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لا يُنفَّذ تغيير على بيئة الإنتاج خارج خط النشر المعتمد، ويُعدّ التغيير اليدوي المباشر مخالفة.</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تُراجَع الإعدادات والتحصين وحزم التحديثات قبل كل إطلاق أو تدشين، وتُوثَّق النتيجة.</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يُحتفظ بسجل كامل للتغييرات يربط كل تغيير بمن اعتمده ومن نفّذه ومتى.</w:t>
      </w:r>
    </w:p>
    <w:p>
      <w:pPr>
        <w:pStyle w:val="Heading2"/>
        <w:bidi/>
        <w:spacing w:after="120" w:before="280" w:line="300"/>
        <w:jc w:val="start"/>
      </w:pPr>
      <w:r>
        <w:rPr>
          <w:rFonts w:ascii="Arial" w:cs="Arial" w:eastAsia="Arial" w:hAnsi="Arial"/>
          <w:b/>
          <w:bCs/>
          <w:color w:val="15325C"/>
          <w:sz w:val="27"/>
          <w:szCs w:val="27"/>
          <w:rtl/>
        </w:rPr>
        <w:t xml:space="preserve">ثالثاً: معايير التطوير الآمن</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932"/>
        <w:gridCol w:w="6428"/>
      </w:tblGrid>
      <w:tr>
        <w:trPr>
          <w:tblHeader/>
        </w:trPr>
        <w:tc>
          <w:tcPr>
            <w:tcW w:type="dxa" w:w="293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المجال</w:t>
            </w:r>
          </w:p>
        </w:tc>
        <w:tc>
          <w:tcPr>
            <w:tcW w:type="dxa" w:w="642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المتطلب</w:t>
            </w:r>
          </w:p>
        </w:tc>
      </w:tr>
      <w:tr>
        <w:trPr>
          <w:tblHeader w:val="false"/>
        </w:trPr>
        <w:tc>
          <w:tcPr>
            <w:tcW w:type="dxa" w:w="293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التحقق من المدخلات</w:t>
            </w:r>
          </w:p>
        </w:tc>
        <w:tc>
          <w:tcPr>
            <w:tcW w:type="dxa" w:w="642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التحقق من جانب الخادم إلزامي · قوائم سماح لا قوائم حظر</w:t>
            </w:r>
          </w:p>
        </w:tc>
      </w:tr>
      <w:tr>
        <w:trPr>
          <w:tblHeader w:val="false"/>
        </w:trPr>
        <w:tc>
          <w:tcPr>
            <w:tcW w:type="dxa" w:w="293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الاستعلامات</w:t>
            </w:r>
          </w:p>
        </w:tc>
        <w:tc>
          <w:tcPr>
            <w:tcW w:type="dxa" w:w="642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استعلامات معاملية إلزامية · يُمنع تركيب الاستعلامات نصياً</w:t>
            </w:r>
          </w:p>
        </w:tc>
      </w:tr>
      <w:tr>
        <w:trPr>
          <w:tblHeader w:val="false"/>
        </w:trPr>
        <w:tc>
          <w:tcPr>
            <w:tcW w:type="dxa" w:w="293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ترميز المخرجات</w:t>
            </w:r>
          </w:p>
        </w:tc>
        <w:tc>
          <w:tcPr>
            <w:tcW w:type="dxa" w:w="642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ترميز كل مخرج بحسب سياق عرضه</w:t>
            </w:r>
          </w:p>
        </w:tc>
      </w:tr>
      <w:tr>
        <w:trPr>
          <w:tblHeader w:val="false"/>
        </w:trPr>
        <w:tc>
          <w:tcPr>
            <w:tcW w:type="dxa" w:w="293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المصادقة والتفويض</w:t>
            </w:r>
          </w:p>
        </w:tc>
        <w:tc>
          <w:tcPr>
            <w:tcW w:type="dxa" w:w="642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تحقق على مستوى كل طلب · لا اعتماد على إخفاء المسارات</w:t>
            </w:r>
          </w:p>
        </w:tc>
      </w:tr>
      <w:tr>
        <w:trPr>
          <w:tblHeader w:val="false"/>
        </w:trPr>
        <w:tc>
          <w:tcPr>
            <w:tcW w:type="dxa" w:w="293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الأسرار</w:t>
            </w:r>
          </w:p>
        </w:tc>
        <w:tc>
          <w:tcPr>
            <w:tcW w:type="dxa" w:w="642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من خزنة الأسرار حصراً وفق CS-PRO-004</w:t>
            </w:r>
          </w:p>
        </w:tc>
      </w:tr>
      <w:tr>
        <w:trPr>
          <w:tblHeader w:val="false"/>
        </w:trPr>
        <w:tc>
          <w:tcPr>
            <w:tcW w:type="dxa" w:w="293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التسجيل</w:t>
            </w:r>
          </w:p>
        </w:tc>
        <w:tc>
          <w:tcPr>
            <w:tcW w:type="dxa" w:w="642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تسجيل العمليات الحساسة دون تسجيل بيانات حساسة</w:t>
            </w:r>
          </w:p>
        </w:tc>
      </w:tr>
      <w:tr>
        <w:trPr>
          <w:tblHeader w:val="false"/>
        </w:trPr>
        <w:tc>
          <w:tcPr>
            <w:tcW w:type="dxa" w:w="293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معالجة الأخطاء</w:t>
            </w:r>
          </w:p>
        </w:tc>
        <w:tc>
          <w:tcPr>
            <w:tcW w:type="dxa" w:w="642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رسائل عامة للمستخدم · تفاصيل في السجلات فقط</w:t>
            </w:r>
          </w:p>
        </w:tc>
      </w:tr>
      <w:tr>
        <w:trPr>
          <w:tblHeader w:val="false"/>
        </w:trPr>
        <w:tc>
          <w:tcPr>
            <w:tcW w:type="dxa" w:w="293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التبعيات</w:t>
            </w:r>
          </w:p>
        </w:tc>
        <w:tc>
          <w:tcPr>
            <w:tcW w:type="dxa" w:w="642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مكتبات من مصادر موثوقة ومرخصة فقط</w:t>
            </w:r>
          </w:p>
        </w:tc>
      </w:tr>
      <w:tr>
        <w:trPr>
          <w:tblHeader w:val="false"/>
        </w:trPr>
        <w:tc>
          <w:tcPr>
            <w:tcW w:type="dxa" w:w="293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مراجعة الأقران</w:t>
            </w:r>
          </w:p>
        </w:tc>
        <w:tc>
          <w:tcPr>
            <w:tcW w:type="dxa" w:w="642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مراجعة إلزامية قبل الدمج في الفروع الرئيسية</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رابعاً: أدوات التطوير والمكتبات</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588"/>
        <w:gridCol w:w="6772"/>
      </w:tblGrid>
      <w:tr>
        <w:trPr>
          <w:tblHeader/>
        </w:trPr>
        <w:tc>
          <w:tcPr>
            <w:tcW w:type="dxa" w:w="258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المتطلب</w:t>
            </w:r>
          </w:p>
        </w:tc>
        <w:tc>
          <w:tcPr>
            <w:tcW w:type="dxa" w:w="677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التفصيل</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المصادر</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أدوات ومكتبات من مصادر مرخصة وموثوقة فقط · يُمنع التحميل من مصادر غير معتمدة</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المستودع الداخلي</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تُسحب المكتبات عبر مستودع الحزم الداخلي لا مباشرةً من الإنترنت</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قائمة المكوّنات</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قائمة محدَّثة لكل نظام تحصر مكتباته وإصداراتها وتراخيصها</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الفحص</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فحص المكتبات آلياً مع كل بناء وشهرياً على التاريخ الكامل</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التراخيص</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التحقق من توافق ترخيص كل مكتبة مع استخدامها التجاري</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المكتبات غير المصانة</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حظر إدخال مكتبة لم تُصان خلال ١٨ شهراً · خطة إحلال للقائم منها</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خامساً: الاختبارات الأمنية للتطبيقات</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561"/>
        <w:gridCol w:w="2561"/>
        <w:gridCol w:w="4238"/>
      </w:tblGrid>
      <w:tr>
        <w:trPr>
          <w:tblHeader/>
        </w:trPr>
        <w:tc>
          <w:tcPr>
            <w:tcW w:type="dxa" w:w="2561"/>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الاختبار</w:t>
            </w:r>
          </w:p>
        </w:tc>
        <w:tc>
          <w:tcPr>
            <w:tcW w:type="dxa" w:w="2561"/>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التوقيت</w:t>
            </w:r>
          </w:p>
        </w:tc>
        <w:tc>
          <w:tcPr>
            <w:tcW w:type="dxa" w:w="423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الإلزام</w:t>
            </w:r>
          </w:p>
        </w:tc>
      </w:tr>
      <w:tr>
        <w:trPr>
          <w:tblHeader w:val="false"/>
        </w:trPr>
        <w:tc>
          <w:tcPr>
            <w:tcW w:type="dxa" w:w="256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فحص الكود الثابت</w:t>
            </w:r>
          </w:p>
        </w:tc>
        <w:tc>
          <w:tcPr>
            <w:tcW w:type="dxa" w:w="256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مع كل تغيير</w:t>
            </w:r>
          </w:p>
        </w:tc>
        <w:tc>
          <w:tcPr>
            <w:tcW w:type="dxa" w:w="423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إلزامي — يوقف البناء عند ثغرة حرجة أو عالية</w:t>
            </w:r>
          </w:p>
        </w:tc>
      </w:tr>
      <w:tr>
        <w:trPr>
          <w:tblHeader w:val="false"/>
        </w:trPr>
        <w:tc>
          <w:tcPr>
            <w:tcW w:type="dxa" w:w="256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فحص التبعيات</w:t>
            </w:r>
          </w:p>
        </w:tc>
        <w:tc>
          <w:tcPr>
            <w:tcW w:type="dxa" w:w="256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مع كل بناء</w:t>
            </w:r>
          </w:p>
        </w:tc>
        <w:tc>
          <w:tcPr>
            <w:tcW w:type="dxa" w:w="423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إلزامي</w:t>
            </w:r>
          </w:p>
        </w:tc>
      </w:tr>
      <w:tr>
        <w:trPr>
          <w:tblHeader w:val="false"/>
        </w:trPr>
        <w:tc>
          <w:tcPr>
            <w:tcW w:type="dxa" w:w="256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فحص الأسرار</w:t>
            </w:r>
          </w:p>
        </w:tc>
        <w:tc>
          <w:tcPr>
            <w:tcW w:type="dxa" w:w="256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قبل الإيداع ومع كل بناء</w:t>
            </w:r>
          </w:p>
        </w:tc>
        <w:tc>
          <w:tcPr>
            <w:tcW w:type="dxa" w:w="423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إلزامي</w:t>
            </w:r>
          </w:p>
        </w:tc>
      </w:tr>
      <w:tr>
        <w:trPr>
          <w:tblHeader w:val="false"/>
        </w:trPr>
        <w:tc>
          <w:tcPr>
            <w:tcW w:type="dxa" w:w="256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فحص التطبيق أثناء التشغيل</w:t>
            </w:r>
          </w:p>
        </w:tc>
        <w:tc>
          <w:tcPr>
            <w:tcW w:type="dxa" w:w="256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مع كل إصدار رئيسي</w:t>
            </w:r>
          </w:p>
        </w:tc>
        <w:tc>
          <w:tcPr>
            <w:tcW w:type="dxa" w:w="423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إلزامي</w:t>
            </w:r>
          </w:p>
        </w:tc>
      </w:tr>
      <w:tr>
        <w:trPr>
          <w:tblHeader w:val="false"/>
        </w:trPr>
        <w:tc>
          <w:tcPr>
            <w:tcW w:type="dxa" w:w="256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فحص صور الحاويات</w:t>
            </w:r>
          </w:p>
        </w:tc>
        <w:tc>
          <w:tcPr>
            <w:tcW w:type="dxa" w:w="256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مع كل بناء</w:t>
            </w:r>
          </w:p>
        </w:tc>
        <w:tc>
          <w:tcPr>
            <w:tcW w:type="dxa" w:w="423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إلزامي</w:t>
            </w:r>
          </w:p>
        </w:tc>
      </w:tr>
      <w:tr>
        <w:trPr>
          <w:tblHeader w:val="false"/>
        </w:trPr>
        <w:tc>
          <w:tcPr>
            <w:tcW w:type="dxa" w:w="256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اختبار اختراق للتطبيق</w:t>
            </w:r>
          </w:p>
        </w:tc>
        <w:tc>
          <w:tcPr>
            <w:tcW w:type="dxa" w:w="256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مع كل إصدار رئيسي</w:t>
            </w:r>
          </w:p>
        </w:tc>
        <w:tc>
          <w:tcPr>
            <w:tcW w:type="dxa" w:w="423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إلزامي وفق CS-STD-009</w:t>
            </w:r>
          </w:p>
        </w:tc>
      </w:tr>
      <w:tr>
        <w:trPr>
          <w:tblHeader w:val="false"/>
        </w:trPr>
        <w:tc>
          <w:tcPr>
            <w:tcW w:type="dxa" w:w="256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مراجعة تصميم أمني</w:t>
            </w:r>
          </w:p>
        </w:tc>
        <w:tc>
          <w:tcPr>
            <w:tcW w:type="dxa" w:w="256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للمشاريع الحرجة</w:t>
            </w:r>
          </w:p>
        </w:tc>
        <w:tc>
          <w:tcPr>
            <w:tcW w:type="dxa" w:w="423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إلزامي</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سادساً: أمن التكامل بين التطبيقات</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588"/>
        <w:gridCol w:w="6772"/>
      </w:tblGrid>
      <w:tr>
        <w:trPr>
          <w:tblHeader/>
        </w:trPr>
        <w:tc>
          <w:tcPr>
            <w:tcW w:type="dxa" w:w="258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المتطلب</w:t>
            </w:r>
          </w:p>
        </w:tc>
        <w:tc>
          <w:tcPr>
            <w:tcW w:type="dxa" w:w="677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التفصيل</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المسار</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كل تكامل عبر بوابة الواجهات البرمجية · يُمنع التكامل المباشر بين التطبيقات</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المصادقة</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مصادقة متبادلة بين الطرفين · لا اعتماد على عنوان الشبكة وحده</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التفويض</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صلاحية محددة لكل تكامل بأدنى نطاق ممكن</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التشفير</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إلزامي في جميع مسارات التكامل الداخلية والخارجية</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التحقق من البيانات</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تحقق من صحة البيانات الواردة من الطرف الآخر قبل معالجتها</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الحد من المعدل</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حماية من الاستهلاك المفرط أو الإساءة</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التسجيل</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تسجيل كل استدعاء تكامل مع معرّف الطرف والنتيجة</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الاختبار</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اختبار أمني للتكامل قبل تفعيله في الإنتاج</w:t>
            </w:r>
          </w:p>
        </w:tc>
      </w:tr>
    </w:tbl>
    <w:p>
      <w:pPr>
        <w:bidi/>
        <w:spacing w:after="100" w:before="0" w:line="300"/>
        <w:jc w:val="start"/>
      </w:pPr>
      <w:r>
        <w:rPr>
          <w:rFonts w:ascii="Arial" w:cs="Arial" w:eastAsia="Arial" w:hAnsi="Arial"/>
          <w:b w:val="false"/>
          <w:bCs w:val="false"/>
          <w:color w:val="16202A"/>
          <w:sz w:val="8"/>
          <w:szCs w:val="8"/>
          <w:rtl/>
        </w:rPr>
        <w:t xml:space="preserve"/>
      </w:r>
    </w:p>
    <w:p>
      <w:pPr>
        <w:bidi/>
        <w:spacing w:after="140" w:before="0" w:line="300"/>
        <w:jc w:val="start"/>
      </w:pPr>
      <w:r>
        <w:rPr>
          <w:rFonts w:ascii="Arial" w:cs="Arial" w:eastAsia="Arial" w:hAnsi="Arial"/>
          <w:b/>
          <w:bCs/>
          <w:color w:val="15325C"/>
          <w:sz w:val="21"/>
          <w:szCs w:val="21"/>
          <w:rtl/>
        </w:rPr>
        <w:t xml:space="preserve">يُمنع الثقة الضمنية:</w:t>
      </w:r>
      <w:r>
        <w:rPr>
          <w:rFonts w:ascii="Arial" w:cs="Arial" w:eastAsia="Arial" w:hAnsi="Arial"/>
          <w:b w:val="false"/>
          <w:bCs w:val="false"/>
          <w:color w:val="16202A"/>
          <w:sz w:val="21"/>
          <w:szCs w:val="21"/>
          <w:rtl/>
        </w:rPr>
        <w:t xml:space="preserve"> لا يُفترض أن الطرف المتكامل آمن لمجرد أنه داخلي أو تابع لجهة عميلة، ويُطبَّق التحقق على كل استدعاء.</w:t>
      </w:r>
    </w:p>
    <w:p>
      <w:pPr>
        <w:pStyle w:val="Heading2"/>
        <w:bidi/>
        <w:spacing w:after="120" w:before="280" w:line="300"/>
        <w:jc w:val="start"/>
      </w:pPr>
      <w:r>
        <w:rPr>
          <w:rFonts w:ascii="Arial" w:cs="Arial" w:eastAsia="Arial" w:hAnsi="Arial"/>
          <w:b/>
          <w:bCs/>
          <w:color w:val="15325C"/>
          <w:sz w:val="27"/>
          <w:szCs w:val="27"/>
          <w:rtl/>
        </w:rPr>
        <w:t xml:space="preserve">المراجعة والتحديث</w:t>
      </w:r>
    </w:p>
    <w:p>
      <w:pPr>
        <w:bidi/>
        <w:spacing w:after="140" w:before="0" w:line="300"/>
        <w:jc w:val="start"/>
      </w:pPr>
      <w:r>
        <w:rPr>
          <w:rFonts w:ascii="Arial" w:cs="Arial" w:eastAsia="Arial" w:hAnsi="Arial"/>
          <w:b w:val="false"/>
          <w:bCs w:val="false"/>
          <w:color w:val="16202A"/>
          <w:sz w:val="21"/>
          <w:szCs w:val="21"/>
          <w:rtl/>
        </w:rPr>
        <w:t xml:space="preserve">يُراجَع هذا المعيار سنوياً على الأقل، وعند تغيّر أدوات التطوير أو منهجية إدارة المشاريع. وتُراجَع متطلبات الأمن السيبراني في إدارة المشاريع دورياً ويُوثَّق إثبات المراجعة. وتُوثَّق التغييرات وتُعتمد من صاحب الصلاحية.</w:t>
      </w:r>
    </w:p>
    <w:p>
      <w:pPr>
        <w:pStyle w:val="Heading2"/>
        <w:bidi/>
        <w:spacing w:after="120" w:before="280" w:line="300"/>
        <w:jc w:val="start"/>
      </w:pPr>
      <w:r>
        <w:rPr>
          <w:rFonts w:ascii="Arial" w:cs="Arial" w:eastAsia="Arial" w:hAnsi="Arial"/>
          <w:b/>
          <w:bCs/>
          <w:color w:val="15325C"/>
          <w:sz w:val="27"/>
          <w:szCs w:val="27"/>
          <w:rtl/>
        </w:rPr>
        <w:t xml:space="preserve">سجل التغييرات</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340"/>
        <w:gridCol w:w="2340"/>
        <w:gridCol w:w="2340"/>
        <w:gridCol w:w="2340"/>
      </w:tblGrid>
      <w:tr>
        <w:trPr>
          <w:tblHeader/>
        </w:trPr>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الإصدار</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التاريخ</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التغيير</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المعتمِد</w:t>
            </w:r>
          </w:p>
        </w:tc>
      </w:tr>
      <w:tr>
        <w:trPr>
          <w:tblHeader w:val="false"/>
        </w:trPr>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١.٠</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 ربيع الأول ١٤٤٨هـ</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الإصدار الأول</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الرئيس التنفيذي</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الاعتماد</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1931"/>
        <w:gridCol w:w="3565"/>
        <w:gridCol w:w="1931"/>
        <w:gridCol w:w="1933"/>
      </w:tblGrid>
      <w:tr>
        <w:trPr>
          <w:tblHeader/>
        </w:trPr>
        <w:tc>
          <w:tcPr>
            <w:tcW w:type="dxa" w:w="1931"/>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الدور</w:t>
            </w:r>
          </w:p>
        </w:tc>
        <w:tc>
          <w:tcPr>
            <w:tcW w:type="dxa" w:w="3565"/>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الاسم</w:t>
            </w:r>
          </w:p>
        </w:tc>
        <w:tc>
          <w:tcPr>
            <w:tcW w:type="dxa" w:w="1931"/>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التوقيع</w:t>
            </w:r>
          </w:p>
        </w:tc>
        <w:tc>
          <w:tcPr>
            <w:tcW w:type="dxa" w:w="1933"/>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التاريخ</w:t>
            </w:r>
          </w:p>
        </w:tc>
      </w:tr>
      <w:tr>
        <w:trPr>
          <w:tblHeader w:val="false"/>
        </w:trPr>
        <w:tc>
          <w:tcPr>
            <w:tcW w:type="dxa" w:w="193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أُعدّ بواسطة</w:t>
            </w:r>
          </w:p>
        </w:tc>
        <w:tc>
          <w:tcPr>
            <w:tcW w:type="dxa" w:w="356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 طلال الحربي — مدير الهندسة والتطوير</w:t>
            </w:r>
          </w:p>
        </w:tc>
        <w:tc>
          <w:tcPr>
            <w:tcW w:type="dxa" w:w="193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193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193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رُوجع بواسطة</w:t>
            </w:r>
          </w:p>
        </w:tc>
        <w:tc>
          <w:tcPr>
            <w:tcW w:type="dxa" w:w="356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 ريم الشهري — رئيس الأمن السيبراني</w:t>
            </w:r>
          </w:p>
        </w:tc>
        <w:tc>
          <w:tcPr>
            <w:tcW w:type="dxa" w:w="193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193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193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اعتُمد بواسطة</w:t>
            </w:r>
          </w:p>
        </w:tc>
        <w:tc>
          <w:tcPr>
            <w:tcW w:type="dxa" w:w="356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 بدر العتيبي — الرئيس التنفيذي · صاحب الصلاحية</w:t>
            </w:r>
          </w:p>
        </w:tc>
        <w:tc>
          <w:tcPr>
            <w:tcW w:type="dxa" w:w="193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193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تنويه</w:t>
      </w:r>
    </w:p>
    <w:p>
      <w:pPr>
        <w:bidi/>
        <w:spacing w:after="140" w:before="0" w:line="300"/>
        <w:jc w:val="start"/>
      </w:pPr>
      <w:r>
        <w:rPr>
          <w:rFonts w:ascii="Arial" w:cs="Arial" w:eastAsia="Arial" w:hAnsi="Arial"/>
          <w:b w:val="false"/>
          <w:bCs w:val="false"/>
          <w:color w:val="16202A"/>
          <w:sz w:val="21"/>
          <w:szCs w:val="21"/>
          <w:rtl/>
        </w:rPr>
        <w:t xml:space="preserve">شركة نَسَق وجميع البيانات والأسماء والأرقام الواردة في هذه الوثيقة افتراضية، وأُعدّت لأغراض التدريب على تطبيق الضوابط الأساسية للأمن السيبراني.</w:t>
      </w:r>
    </w:p>
    <w:sectPr>
      <w:headerReference w:type="default" r:id="rId9"/>
      <w:footerReference w:type="default" r:id="rId10"/>
      <w:pgSz w:w="11906" w:h="16838" w:orient="portrait"/>
      <w:pgMar w:top="10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start"/>
    </w:pPr>
    <w:r>
      <w:rPr>
        <w:rFonts w:ascii="Arial" w:cs="Arial" w:eastAsia="Arial" w:hAnsi="Arial"/>
        <w:b/>
        <w:bCs/>
        <w:color w:val="9E2A2B"/>
        <w:sz w:val="16"/>
        <w:szCs w:val="16"/>
        <w:rtl/>
      </w:rPr>
      <w:t xml:space="preserve">سري</w:t>
    </w:r>
    <w:r>
      <w:rPr>
        <w:rFonts w:ascii="Arial" w:cs="Arial" w:eastAsia="Arial" w:hAnsi="Arial"/>
        <w:b w:val="false"/>
        <w:bCs w:val="false"/>
        <w:color w:val="5A6672"/>
        <w:sz w:val="16"/>
        <w:szCs w:val="16"/>
        <w:rtl/>
      </w:rPr>
      <w:t xml:space="preserve">        صفحة </w:t>
    </w:r>
    <w:r>
      <w:rPr>
        <w:rFonts w:ascii="Arial" w:cs="Arial" w:eastAsia="Arial" w:hAnsi="Arial"/>
        <w:color w:val="5A6672"/>
        <w:sz w:val="16"/>
        <w:szCs w:val="16"/>
      </w:rPr>
      <w:fldChar w:fldCharType="begin"/>
      <w:instrText xml:space="preserve">PAGE</w:instrText>
      <w:fldChar w:fldCharType="separate"/>
      <w:fldChar w:fldCharType="end"/>
    </w:r>
    <w:r>
      <w:rPr>
        <w:rFonts w:ascii="Arial" w:cs="Arial" w:eastAsia="Arial" w:hAnsi="Arial"/>
        <w:b w:val="false"/>
        <w:bCs w:val="false"/>
        <w:color w:val="5A6672"/>
        <w:sz w:val="16"/>
        <w:szCs w:val="16"/>
        <w:rtl/>
      </w:rPr>
      <w:t xml:space="preserve"> من </w:t>
    </w:r>
    <w:r>
      <w:rPr>
        <w:rFonts w:ascii="Arial" w:cs="Arial" w:eastAsia="Arial" w:hAnsi="Arial"/>
        <w:color w:val="5A6672"/>
        <w:sz w:val="16"/>
        <w:szCs w:val="16"/>
      </w:rPr>
      <w:fldChar w:fldCharType="begin"/>
      <w:instrText xml:space="preserve">NUMPAGES</w:instrText>
      <w:fldChar w:fldCharType="separate"/>
      <w:fldChar w:fldCharType="end"/>
    </w:r>
    <w:r>
      <w:rPr>
        <w:rFonts w:ascii="Arial" w:cs="Arial" w:eastAsia="Arial" w:hAnsi="Arial"/>
        <w:color w:val="5A6672"/>
        <w:sz w:val="16"/>
        <w:szCs w:val="16"/>
      </w:rPr>
      <w:t xml:space="preserve">	CS-STD-014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start"/>
    </w:pPr>
    <w:r>
      <w:rPr>
        <w:rFonts w:ascii="Arial" w:cs="Arial" w:eastAsia="Arial" w:hAnsi="Arial"/>
        <w:b/>
        <w:bCs/>
        <w:color w:val="9E2A2B"/>
        <w:sz w:val="16"/>
        <w:szCs w:val="16"/>
        <w:rtl/>
      </w:rPr>
      <w:t xml:space="preserve">سري</w:t>
    </w:r>
    <w:r>
      <w:rPr>
        <w:rFonts w:ascii="Arial" w:cs="Arial" w:eastAsia="Arial" w:hAnsi="Arial"/>
        <w:b w:val="false"/>
        <w:bCs w:val="false"/>
        <w:color w:val="5A6672"/>
        <w:sz w:val="16"/>
        <w:szCs w:val="16"/>
        <w:rtl/>
      </w:rPr>
      <w:t xml:space="preserve">        صفحة </w:t>
    </w:r>
    <w:r>
      <w:rPr>
        <w:rFonts w:ascii="Arial" w:cs="Arial" w:eastAsia="Arial" w:hAnsi="Arial"/>
        <w:color w:val="5A6672"/>
        <w:sz w:val="16"/>
        <w:szCs w:val="16"/>
      </w:rPr>
      <w:fldChar w:fldCharType="begin"/>
      <w:instrText xml:space="preserve">PAGE</w:instrText>
      <w:fldChar w:fldCharType="separate"/>
      <w:fldChar w:fldCharType="end"/>
    </w:r>
    <w:r>
      <w:rPr>
        <w:rFonts w:ascii="Arial" w:cs="Arial" w:eastAsia="Arial" w:hAnsi="Arial"/>
        <w:b w:val="false"/>
        <w:bCs w:val="false"/>
        <w:color w:val="5A6672"/>
        <w:sz w:val="16"/>
        <w:szCs w:val="16"/>
        <w:rtl/>
      </w:rPr>
      <w:t xml:space="preserve"> من </w:t>
    </w:r>
    <w:r>
      <w:rPr>
        <w:rFonts w:ascii="Arial" w:cs="Arial" w:eastAsia="Arial" w:hAnsi="Arial"/>
        <w:color w:val="5A6672"/>
        <w:sz w:val="16"/>
        <w:szCs w:val="16"/>
      </w:rPr>
      <w:fldChar w:fldCharType="begin"/>
      <w:instrText xml:space="preserve">NUMPAGES</w:instrText>
      <w:fldChar w:fldCharType="separate"/>
      <w:fldChar w:fldCharType="end"/>
    </w:r>
    <w:r>
      <w:rPr>
        <w:rFonts w:ascii="Arial" w:cs="Arial" w:eastAsia="Arial" w:hAnsi="Arial"/>
        <w:color w:val="5A6672"/>
        <w:sz w:val="16"/>
        <w:szCs w:val="16"/>
      </w:rPr>
      <w:t xml:space="preserve">	CS-STD-014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0E3" w:sz="2" w:space="6"/>
      </w:pBdr>
      <w:bidi/>
      <w:jc w:val="start"/>
    </w:pPr>
    <w:r>
      <w:rPr>
        <w:rFonts w:ascii="Arial" w:cs="Arial" w:eastAsia="Arial" w:hAnsi="Arial"/>
        <w:b/>
        <w:bCs/>
        <w:color w:val="15325C"/>
        <w:sz w:val="16"/>
        <w:szCs w:val="16"/>
        <w:rtl/>
      </w:rPr>
      <w:t xml:space="preserve">شركة نَسَق للحلول الرقمية — إدارة الأمن السيبراني</w:t>
    </w:r>
    <w:r>
      <w:rPr>
        <w:rFonts w:ascii="Arial" w:cs="Arial" w:eastAsia="Arial" w:hAnsi="Arial"/>
        <w:color w:val="5A6672"/>
        <w:sz w:val="16"/>
        <w:szCs w:val="16"/>
      </w:rPr>
      <w:t xml:space="preserve">	CS-STD-014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2026-10-04T11:48:02.263Z</dcterms:created>
  <dcterms:modified xsi:type="dcterms:W3CDTF">2026-10-04T11:48:02.263Z</dcterms:modified>
</cp:coreProperties>
</file>

<file path=docProps/custom.xml><?xml version="1.0" encoding="utf-8"?>
<Properties xmlns="http://schemas.openxmlformats.org/officeDocument/2006/custom-properties" xmlns:vt="http://schemas.openxmlformats.org/officeDocument/2006/docPropsVTypes"/>
</file>