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C1F3D" w:color="auto" w:val="clear"/>
            <w:tcMar>
              <w:top w:type="dxa" w:w="340"/>
              <w:left w:type="dxa" w:w="340"/>
              <w:bottom w:type="dxa" w:w="340"/>
              <w:right w:type="dxa" w:w="340"/>
            </w:tcMar>
          </w:tcPr>
          <w:p>
            <w:pPr>
              <w:bidi/>
              <w:spacing w:after="4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  <w:rtl/>
              </w:rPr>
              <w:t xml:space="preserve">شركة نَسَق للحلول الرقمية</w:t>
            </w:r>
          </w:p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9FB6C9"/>
                <w:sz w:val="18"/>
                <w:szCs w:val="18"/>
                <w:rtl/>
              </w:rPr>
              <w:t xml:space="preserve">إدارة الأمن السيبراني</w:t>
            </w:r>
          </w:p>
          <w:p>
            <w:pPr>
              <w:bidi/>
              <w:spacing w:after="700" w:before="0" w:line="300"/>
              <w:jc w:val="start"/>
            </w:pPr>
            <w:r>
              <w:rPr>
                <w:rFonts w:ascii="Arial" w:cs="Arial" w:eastAsia="Arial" w:hAnsi="Arial"/>
                <w:color w:val="6E8CA6"/>
                <w:sz w:val="14"/>
                <w:szCs w:val="14"/>
              </w:rPr>
              <w:t xml:space="preserve">NASAQ DIGITAL SOLUTIONS CO</w:t>
            </w:r>
          </w:p>
          <w:p>
            <w:pPr>
              <w:bidi/>
              <w:spacing w:after="9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C9A227"/>
                <w:sz w:val="19"/>
                <w:szCs w:val="19"/>
                <w:rtl/>
              </w:rPr>
              <w:t xml:space="preserve">سجل التزام</w:t>
            </w:r>
          </w:p>
          <w:p>
            <w:pPr>
              <w:bidi/>
              <w:spacing w:after="120" w:before="0" w:line="42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  <w:rtl/>
              </w:rPr>
              <w:t xml:space="preserve">سجل المتطلبات التشريعية والتنظيمية وتقرير الالتزام</w:t>
            </w:r>
          </w:p>
          <w:p>
            <w:pPr>
              <w:bidi/>
              <w:spacing w:after="26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AFC4D4"/>
                <w:sz w:val="22"/>
                <w:szCs w:val="22"/>
                <w:rtl/>
              </w:rPr>
              <w:t xml:space="preserve">أربعة عشر متطلباً · ست فجوات وخطة معالجة</w:t>
            </w:r>
          </w:p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C9A227"/>
                <w:sz w:val="18"/>
                <w:szCs w:val="18"/>
                <w:rtl/>
              </w:rPr>
              <w:t xml:space="preserve">تصنيف الوثيقة: سري</w:t>
            </w:r>
          </w:p>
        </w:tc>
      </w:tr>
    </w:tbl>
    <w:p>
      <w:pPr>
        <w:bidi/>
        <w:spacing w:after="26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12"/>
          <w:szCs w:val="12"/>
          <w:rtl/>
        </w:rPr>
        <w:t xml:space="preserve"/>
      </w:r>
    </w:p>
    <w:tbl>
      <w:tblPr>
        <w:bidiVisual/>
        <w:tblW w:type="dxa" w:w="9360"/>
        <w:tblBorders>
          <w:top w:val="none"/>
          <w:left w:val="none"/>
          <w:bottom w:val="none"/>
          <w:right w:val="none"/>
          <w:insideH w:val="single" w:color="D8E0E3" w:sz="2"/>
          <w:insideV w:val="none"/>
        </w:tblBorders>
      </w:tblPr>
      <w:tblGrid>
        <w:gridCol w:w="3400"/>
        <w:gridCol w:w="5960"/>
      </w:tblGrid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رقم الوثيقة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CS-REG-007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رقم الإصدار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1.0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مالك الوثيقة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وحدة الحوكمة والمخاطر والالتزام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جهة الاعتماد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الرئيس التنفيذي — صاحب الصلاحية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تاريخ الاعتماد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١ ربيع الأول ١٤٤٨هـ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تاريخ المراجعة القادمة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نصف سنوي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الضابط المرتبط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ECC-2:2024 — 1-7-1</w:t>
            </w:r>
          </w:p>
        </w:tc>
      </w:tr>
    </w:tbl>
    <w:p>
      <w:pPr>
        <w:bidi/>
        <w:spacing w:after="36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12"/>
          <w:szCs w:val="12"/>
          <w:rtl/>
        </w:rPr>
        <w:t xml:space="preserve"/>
      </w:r>
    </w:p>
    <w:p>
      <w:pPr>
        <w:bidi/>
        <w:spacing w:after="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5A6672"/>
          <w:sz w:val="16"/>
          <w:szCs w:val="16"/>
          <w:rtl/>
        </w:rPr>
        <w:t xml:space="preserve">هذه الوثيقة ملكية فكرية لـ شركة نَسَق للحلول الرقمية، وتصنيفها «سري». لا يجوز نسخها أو تداولها خارج الشركة دون موافقة خطية من مالك الوثيقة.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000" w:right="1080" w:bottom="900" w:left="1080" w:header="708" w:footer="708" w:gutter="0"/>
          <w:pgNumType/>
          <w:docGrid w:linePitch="360"/>
        </w:sectPr>
      </w:pPr>
    </w:p>
    <w:p>
      <w:pPr>
        <w:pStyle w:val="Heading1"/>
        <w:bidi/>
        <w:spacing w:after="20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32"/>
          <w:szCs w:val="32"/>
          <w:rtl/>
        </w:rPr>
        <w:t xml:space="preserve">سجل المتطلبات التشريعية والتنظيمية وتقرير الالتزام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الغرض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يحصر هذا السجل المتطلبات التشريعية والتنظيمية والاتفاقيات والالتزامات الدولية المعتمدة محلياً ذات العلاقة بالأمن السيبراني والمنطبقة على شركة نَسَق للحلول الرقمية، ويوثّق مدى الالتزام بها. ويستوفي الضابط ١-٧-١، ويُعدّ مخرَجاً من حزمة العمل WP-09.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المرجعية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5590"/>
        <w:gridCol w:w="3770"/>
      </w:tblGrid>
      <w:tr>
        <w:trPr>
          <w:tblHeader/>
        </w:trPr>
        <w:tc>
          <w:tcPr>
            <w:tcW w:type="dxa" w:w="559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المرجع</w:t>
            </w:r>
          </w:p>
        </w:tc>
        <w:tc>
          <w:tcPr>
            <w:tcW w:type="dxa" w:w="377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العلاقة</w:t>
            </w:r>
          </w:p>
        </w:tc>
      </w:tr>
      <w:tr>
        <w:trPr>
          <w:tblHeader w:val="false"/>
        </w:trPr>
        <w:tc>
          <w:tcPr>
            <w:tcW w:type="dxa" w:w="559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ECC-2:2024 — الضابط ١-٧-١</w:t>
            </w:r>
          </w:p>
        </w:tc>
        <w:tc>
          <w:tcPr>
            <w:tcW w:type="dxa" w:w="377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الضابط الذي يستوفيه هذا السجل</w:t>
            </w:r>
          </w:p>
        </w:tc>
      </w:tr>
      <w:tr>
        <w:trPr>
          <w:tblHeader w:val="false"/>
        </w:trPr>
        <w:tc>
          <w:tcPr>
            <w:tcW w:type="dxa" w:w="559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السياسة العامة للأمن السيبراني CS-POL-003</w:t>
            </w:r>
          </w:p>
        </w:tc>
        <w:tc>
          <w:tcPr>
            <w:tcW w:type="dxa" w:w="377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الوثيقة الحاكمة</w:t>
            </w:r>
          </w:p>
        </w:tc>
      </w:tr>
      <w:tr>
        <w:trPr>
          <w:tblHeader w:val="false"/>
        </w:trPr>
        <w:tc>
          <w:tcPr>
            <w:tcW w:type="dxa" w:w="559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وثيقة نطاق التطبيق ومنهجية العمل CS-DOC-002</w:t>
            </w:r>
          </w:p>
        </w:tc>
        <w:tc>
          <w:tcPr>
            <w:tcW w:type="dxa" w:w="377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الأطر المتقاطعة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بيانات السجل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967"/>
        <w:gridCol w:w="6393"/>
      </w:tblGrid>
      <w:tr>
        <w:trPr>
          <w:tblHeader/>
        </w:trPr>
        <w:tc>
          <w:tcPr>
            <w:tcW w:type="dxa" w:w="296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البند</w:t>
            </w:r>
          </w:p>
        </w:tc>
        <w:tc>
          <w:tcPr>
            <w:tcW w:type="dxa" w:w="639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البيان</w:t>
            </w:r>
          </w:p>
        </w:tc>
      </w:tr>
      <w:tr>
        <w:trPr>
          <w:tblHeader w:val="false"/>
        </w:trPr>
        <w:tc>
          <w:tcPr>
            <w:tcW w:type="dxa" w:w="296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رقم السجل</w:t>
            </w:r>
          </w:p>
        </w:tc>
        <w:tc>
          <w:tcPr>
            <w:tcW w:type="dxa" w:w="639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LEG-1448-001</w:t>
            </w:r>
          </w:p>
        </w:tc>
      </w:tr>
      <w:tr>
        <w:trPr>
          <w:tblHeader w:val="false"/>
        </w:trPr>
        <w:tc>
          <w:tcPr>
            <w:tcW w:type="dxa" w:w="296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تاريخ الحصر</w:t>
            </w:r>
          </w:p>
        </w:tc>
        <w:tc>
          <w:tcPr>
            <w:tcW w:type="dxa" w:w="639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 ربيع الأول ١٤٤٨هـ</w:t>
            </w:r>
          </w:p>
        </w:tc>
      </w:tr>
      <w:tr>
        <w:trPr>
          <w:tblHeader w:val="false"/>
        </w:trPr>
        <w:tc>
          <w:tcPr>
            <w:tcW w:type="dxa" w:w="296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جهة الإعداد</w:t>
            </w:r>
          </w:p>
        </w:tc>
        <w:tc>
          <w:tcPr>
            <w:tcW w:type="dxa" w:w="639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الحوكمة والمخاطر والالتزام بمشاركة الشؤون القانونية</w:t>
            </w:r>
          </w:p>
        </w:tc>
      </w:tr>
      <w:tr>
        <w:trPr>
          <w:tblHeader w:val="false"/>
        </w:trPr>
        <w:tc>
          <w:tcPr>
            <w:tcW w:type="dxa" w:w="296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دورية المراجعة</w:t>
            </w:r>
          </w:p>
        </w:tc>
        <w:tc>
          <w:tcPr>
            <w:tcW w:type="dxa" w:w="639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نصف سنوي · وعند صدور أو تحديث أي متطلب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أولاً: المتطلبات التشريعية والتنظيمية الوطنية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254"/>
        <w:gridCol w:w="2364"/>
        <w:gridCol w:w="1447"/>
        <w:gridCol w:w="2605"/>
        <w:gridCol w:w="1690"/>
      </w:tblGrid>
      <w:tr>
        <w:trPr>
          <w:tblHeader/>
        </w:trPr>
        <w:tc>
          <w:tcPr>
            <w:tcW w:type="dxa" w:w="125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#</w:t>
            </w:r>
          </w:p>
        </w:tc>
        <w:tc>
          <w:tcPr>
            <w:tcW w:type="dxa" w:w="236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المتطلب</w:t>
            </w:r>
          </w:p>
        </w:tc>
        <w:tc>
          <w:tcPr>
            <w:tcW w:type="dxa" w:w="144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الجهة</w:t>
            </w:r>
          </w:p>
        </w:tc>
        <w:tc>
          <w:tcPr>
            <w:tcW w:type="dxa" w:w="260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أساس الانطباق</w:t>
            </w:r>
          </w:p>
        </w:tc>
        <w:tc>
          <w:tcPr>
            <w:tcW w:type="dxa" w:w="169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حالة الالتزام</w:t>
            </w:r>
          </w:p>
        </w:tc>
      </w:tr>
      <w:tr>
        <w:trPr>
          <w:tblHeader w:val="false"/>
        </w:trPr>
        <w:tc>
          <w:tcPr>
            <w:tcW w:type="dxa" w:w="125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236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الضوابط الأساسية للأمن السيبراني ECC-2:2024</w:t>
            </w:r>
          </w:p>
        </w:tc>
        <w:tc>
          <w:tcPr>
            <w:tcW w:type="dxa" w:w="144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الهيئة الوطنية للأمن السيبراني</w:t>
            </w:r>
          </w:p>
        </w:tc>
        <w:tc>
          <w:tcPr>
            <w:tcW w:type="dxa" w:w="260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استضافة وتشغيل أنظمة حكومية حساسة · ملكية حكومية جزئية</w:t>
            </w:r>
          </w:p>
        </w:tc>
        <w:tc>
          <w:tcPr>
            <w:tcW w:type="dxa" w:w="169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ملتزم جزئياً — ٣٠%</w:t>
            </w:r>
          </w:p>
        </w:tc>
      </w:tr>
      <w:tr>
        <w:trPr>
          <w:tblHeader w:val="false"/>
        </w:trPr>
        <w:tc>
          <w:tcPr>
            <w:tcW w:type="dxa" w:w="125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236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ضوابط الأمن السيبراني للأنظمة الحساسة CSCC-1:2019</w:t>
            </w:r>
          </w:p>
        </w:tc>
        <w:tc>
          <w:tcPr>
            <w:tcW w:type="dxa" w:w="144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الهيئة الوطنية للأمن السيبراني</w:t>
            </w:r>
          </w:p>
        </w:tc>
        <w:tc>
          <w:tcPr>
            <w:tcW w:type="dxa" w:w="260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ستة أنظمة مستضافة مصنّفة حساسة</w:t>
            </w:r>
          </w:p>
        </w:tc>
        <w:tc>
          <w:tcPr>
            <w:tcW w:type="dxa" w:w="169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مقيَّم بعد</w:t>
            </w:r>
          </w:p>
        </w:tc>
      </w:tr>
      <w:tr>
        <w:trPr>
          <w:tblHeader w:val="false"/>
        </w:trPr>
        <w:tc>
          <w:tcPr>
            <w:tcW w:type="dxa" w:w="125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</w:t>
            </w:r>
          </w:p>
        </w:tc>
        <w:tc>
          <w:tcPr>
            <w:tcW w:type="dxa" w:w="236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ضوابط الأمن السيبراني للحوسبة السحابية CCC-1:2020</w:t>
            </w:r>
          </w:p>
        </w:tc>
        <w:tc>
          <w:tcPr>
            <w:tcW w:type="dxa" w:w="144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الهيئة الوطنية للأمن السيبراني</w:t>
            </w:r>
          </w:p>
        </w:tc>
        <w:tc>
          <w:tcPr>
            <w:tcW w:type="dxa" w:w="260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اشتراك سحابي وتقديم خدمات استضافة</w:t>
            </w:r>
          </w:p>
        </w:tc>
        <w:tc>
          <w:tcPr>
            <w:tcW w:type="dxa" w:w="169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مقيَّم بعد</w:t>
            </w:r>
          </w:p>
        </w:tc>
      </w:tr>
      <w:tr>
        <w:trPr>
          <w:tblHeader w:val="false"/>
        </w:trPr>
        <w:tc>
          <w:tcPr>
            <w:tcW w:type="dxa" w:w="125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236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المعايير الوطنية للتشفير</w:t>
            </w:r>
          </w:p>
        </w:tc>
        <w:tc>
          <w:tcPr>
            <w:tcW w:type="dxa" w:w="144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الهيئة الوطنية للأمن السيبراني</w:t>
            </w:r>
          </w:p>
        </w:tc>
        <w:tc>
          <w:tcPr>
            <w:tcW w:type="dxa" w:w="260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تشفير بيانات الجهات العميلة</w:t>
            </w:r>
          </w:p>
        </w:tc>
        <w:tc>
          <w:tcPr>
            <w:tcW w:type="dxa" w:w="169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ملتزم جزئياً</w:t>
            </w:r>
          </w:p>
        </w:tc>
      </w:tr>
      <w:tr>
        <w:trPr>
          <w:tblHeader w:val="false"/>
        </w:trPr>
        <w:tc>
          <w:tcPr>
            <w:tcW w:type="dxa" w:w="125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٥</w:t>
            </w:r>
          </w:p>
        </w:tc>
        <w:tc>
          <w:tcPr>
            <w:tcW w:type="dxa" w:w="236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متطلبات الإبلاغ عن الحوادث السيبرانية</w:t>
            </w:r>
          </w:p>
        </w:tc>
        <w:tc>
          <w:tcPr>
            <w:tcW w:type="dxa" w:w="144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الهيئة الوطنية للأمن السيبراني</w:t>
            </w:r>
          </w:p>
        </w:tc>
        <w:tc>
          <w:tcPr>
            <w:tcW w:type="dxa" w:w="260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جميع الجهات في النطاق</w:t>
            </w:r>
          </w:p>
        </w:tc>
        <w:tc>
          <w:tcPr>
            <w:tcW w:type="dxa" w:w="169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ملتزم — الإجراء معتمد في CS-PRO-002</w:t>
            </w:r>
          </w:p>
        </w:tc>
      </w:tr>
      <w:tr>
        <w:trPr>
          <w:tblHeader w:val="false"/>
        </w:trPr>
        <w:tc>
          <w:tcPr>
            <w:tcW w:type="dxa" w:w="125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</w:t>
            </w:r>
          </w:p>
        </w:tc>
        <w:tc>
          <w:tcPr>
            <w:tcW w:type="dxa" w:w="236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نظام حماية البيانات الشخصية ولائحته التنفيذية</w:t>
            </w:r>
          </w:p>
        </w:tc>
        <w:tc>
          <w:tcPr>
            <w:tcW w:type="dxa" w:w="144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سدايا</w:t>
            </w:r>
          </w:p>
        </w:tc>
        <w:tc>
          <w:tcPr>
            <w:tcW w:type="dxa" w:w="260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معالجة بيانات شخصية لمستفيدي الجهات العميلة</w:t>
            </w:r>
          </w:p>
        </w:tc>
        <w:tc>
          <w:tcPr>
            <w:tcW w:type="dxa" w:w="169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ملتزم جزئياً — لا تصنيف للبيانات</w:t>
            </w:r>
          </w:p>
        </w:tc>
      </w:tr>
      <w:tr>
        <w:trPr>
          <w:tblHeader w:val="false"/>
        </w:trPr>
        <w:tc>
          <w:tcPr>
            <w:tcW w:type="dxa" w:w="125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٧</w:t>
            </w:r>
          </w:p>
        </w:tc>
        <w:tc>
          <w:tcPr>
            <w:tcW w:type="dxa" w:w="236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متطلبات استضافة البيانات داخل المملكة</w:t>
            </w:r>
          </w:p>
        </w:tc>
        <w:tc>
          <w:tcPr>
            <w:tcW w:type="dxa" w:w="144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الجهات التنظيمية ذات العلاقة</w:t>
            </w:r>
          </w:p>
        </w:tc>
        <w:tc>
          <w:tcPr>
            <w:tcW w:type="dxa" w:w="260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بيانات جهات حكومية</w:t>
            </w:r>
          </w:p>
        </w:tc>
        <w:tc>
          <w:tcPr>
            <w:tcW w:type="dxa" w:w="169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ملتزم</w:t>
            </w:r>
          </w:p>
        </w:tc>
      </w:tr>
      <w:tr>
        <w:trPr>
          <w:tblHeader w:val="false"/>
        </w:trPr>
        <w:tc>
          <w:tcPr>
            <w:tcW w:type="dxa" w:w="125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٨</w:t>
            </w:r>
          </w:p>
        </w:tc>
        <w:tc>
          <w:tcPr>
            <w:tcW w:type="dxa" w:w="236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نظام التعاملات الإلكترونية</w:t>
            </w:r>
          </w:p>
        </w:tc>
        <w:tc>
          <w:tcPr>
            <w:tcW w:type="dxa" w:w="144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الجهات التنظيمية ذات العلاقة</w:t>
            </w:r>
          </w:p>
        </w:tc>
        <w:tc>
          <w:tcPr>
            <w:tcW w:type="dxa" w:w="260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الخدمات الإلكترونية المقدَّمة</w:t>
            </w:r>
          </w:p>
        </w:tc>
        <w:tc>
          <w:tcPr>
            <w:tcW w:type="dxa" w:w="169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ملتزم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ثانياً: الاتفاقيات والالتزامات الدولية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نص الضابط ١-٧-١ على أنه في حال وجود اتفاقيات أو التزامات دولية معتمدة محلياً تتضمن متطلبات خاصة بالأمن السيبراني، فيجب على الجهة حصر تلك المتطلبات والالتزام بها.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946"/>
        <w:gridCol w:w="5091"/>
        <w:gridCol w:w="2323"/>
      </w:tblGrid>
      <w:tr>
        <w:trPr>
          <w:tblHeader/>
        </w:trPr>
        <w:tc>
          <w:tcPr>
            <w:tcW w:type="dxa" w:w="194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#</w:t>
            </w:r>
          </w:p>
        </w:tc>
        <w:tc>
          <w:tcPr>
            <w:tcW w:type="dxa" w:w="5091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الالتزام</w:t>
            </w:r>
          </w:p>
        </w:tc>
        <w:tc>
          <w:tcPr>
            <w:tcW w:type="dxa" w:w="232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الحالة</w:t>
            </w:r>
          </w:p>
        </w:tc>
      </w:tr>
      <w:tr>
        <w:trPr>
          <w:tblHeader w:val="false"/>
        </w:trPr>
        <w:tc>
          <w:tcPr>
            <w:tcW w:type="dxa" w:w="194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509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اتفاقيات أو التزامات دولية معتمدة محلياً تتضمن متطلبات أمن سيبراني منطبقة على الشركة</w:t>
            </w:r>
          </w:p>
        </w:tc>
        <w:tc>
          <w:tcPr>
            <w:tcW w:type="dxa" w:w="232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لا يوجد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 حتى تاريخ هذا الحصر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إجراء الحصر: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 رُوجعت جميع العقود والاتفاقيات السارية مع الجهات العميلة والأطراف الخارجية، ولم يُرصد أي التزام دولي معتمد محلياً يتضمن متطلبات أمن سيبراني خاصة.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عند وجود التزام دولي مستقبلاً: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 يُحصر ويُدرج في هذا السجل، ويُرفع للحصول على موافقة الهيئة الوطنية للأمن السيبراني مسبقاً، ثم يُعتمد من صاحب الصلاحية، ويُبنى له تقرير التزام دوري.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ملاحظة على النطاق: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 تُعامَل المتطلبات التعاقدية المفروضة من الجهات العميلة — رغم أنها ليست التزامات دولية — ضمن هذا السجل لأنها ملزِمة للشركة وتخضع للمتابعة ذاتها.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ثالثاً: المتطلبات التعاقدية من الجهات العميلة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776"/>
        <w:gridCol w:w="2732"/>
        <w:gridCol w:w="1776"/>
        <w:gridCol w:w="3076"/>
      </w:tblGrid>
      <w:tr>
        <w:trPr>
          <w:tblHeader/>
        </w:trPr>
        <w:tc>
          <w:tcPr>
            <w:tcW w:type="dxa" w:w="177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#</w:t>
            </w:r>
          </w:p>
        </w:tc>
        <w:tc>
          <w:tcPr>
            <w:tcW w:type="dxa" w:w="273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نوع المتطلب</w:t>
            </w:r>
          </w:p>
        </w:tc>
        <w:tc>
          <w:tcPr>
            <w:tcW w:type="dxa" w:w="177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عدد العقود المتضمنة له</w:t>
            </w:r>
          </w:p>
        </w:tc>
        <w:tc>
          <w:tcPr>
            <w:tcW w:type="dxa" w:w="307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حالة الالتزام</w:t>
            </w:r>
          </w:p>
        </w:tc>
      </w:tr>
      <w:tr>
        <w:trPr>
          <w:tblHeader w:val="false"/>
        </w:trPr>
        <w:tc>
          <w:tcPr>
            <w:tcW w:type="dxa" w:w="177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273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الإبلاغ عن الحوادث خلال مهلة محددة</w:t>
            </w:r>
          </w:p>
        </w:tc>
        <w:tc>
          <w:tcPr>
            <w:tcW w:type="dxa" w:w="177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١١</w:t>
            </w:r>
          </w:p>
        </w:tc>
        <w:tc>
          <w:tcPr>
            <w:tcW w:type="dxa" w:w="307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ملتزم — بعد اعتماد CS-PRO-002</w:t>
            </w:r>
          </w:p>
        </w:tc>
      </w:tr>
      <w:tr>
        <w:trPr>
          <w:tblHeader w:val="false"/>
        </w:trPr>
        <w:tc>
          <w:tcPr>
            <w:tcW w:type="dxa" w:w="177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273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استضافة البيانات داخل المملكة</w:t>
            </w:r>
          </w:p>
        </w:tc>
        <w:tc>
          <w:tcPr>
            <w:tcW w:type="dxa" w:w="177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١١</w:t>
            </w:r>
          </w:p>
        </w:tc>
        <w:tc>
          <w:tcPr>
            <w:tcW w:type="dxa" w:w="307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ملتزم</w:t>
            </w:r>
          </w:p>
        </w:tc>
      </w:tr>
      <w:tr>
        <w:trPr>
          <w:tblHeader w:val="false"/>
        </w:trPr>
        <w:tc>
          <w:tcPr>
            <w:tcW w:type="dxa" w:w="177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</w:t>
            </w:r>
          </w:p>
        </w:tc>
        <w:tc>
          <w:tcPr>
            <w:tcW w:type="dxa" w:w="273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حق الجهة العميلة في التدقيق</w:t>
            </w:r>
          </w:p>
        </w:tc>
        <w:tc>
          <w:tcPr>
            <w:tcW w:type="dxa" w:w="177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٧</w:t>
            </w:r>
          </w:p>
        </w:tc>
        <w:tc>
          <w:tcPr>
            <w:tcW w:type="dxa" w:w="307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ملتزم</w:t>
            </w:r>
          </w:p>
        </w:tc>
      </w:tr>
      <w:tr>
        <w:trPr>
          <w:tblHeader w:val="false"/>
        </w:trPr>
        <w:tc>
          <w:tcPr>
            <w:tcW w:type="dxa" w:w="177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273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مستويات خدمة للتوافر والتعافي</w:t>
            </w:r>
          </w:p>
        </w:tc>
        <w:tc>
          <w:tcPr>
            <w:tcW w:type="dxa" w:w="177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١١</w:t>
            </w:r>
          </w:p>
        </w:tc>
        <w:tc>
          <w:tcPr>
            <w:tcW w:type="dxa" w:w="307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ملتزم جزئياً — زمن التعافي غير مثبت بالاختبار</w:t>
            </w:r>
          </w:p>
        </w:tc>
      </w:tr>
      <w:tr>
        <w:trPr>
          <w:tblHeader w:val="false"/>
        </w:trPr>
        <w:tc>
          <w:tcPr>
            <w:tcW w:type="dxa" w:w="177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٥</w:t>
            </w:r>
          </w:p>
        </w:tc>
        <w:tc>
          <w:tcPr>
            <w:tcW w:type="dxa" w:w="273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إعادة البيانات وإتلافها عند انتهاء العقد</w:t>
            </w:r>
          </w:p>
        </w:tc>
        <w:tc>
          <w:tcPr>
            <w:tcW w:type="dxa" w:w="177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307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ملتزم — البند غير مطبَّق إجرائياً</w:t>
            </w:r>
          </w:p>
        </w:tc>
      </w:tr>
      <w:tr>
        <w:trPr>
          <w:tblHeader w:val="false"/>
        </w:trPr>
        <w:tc>
          <w:tcPr>
            <w:tcW w:type="dxa" w:w="177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</w:t>
            </w:r>
          </w:p>
        </w:tc>
        <w:tc>
          <w:tcPr>
            <w:tcW w:type="dxa" w:w="273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تقديم تقرير التزام دوري للجهة العميلة</w:t>
            </w:r>
          </w:p>
        </w:tc>
        <w:tc>
          <w:tcPr>
            <w:tcW w:type="dxa" w:w="177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</w:t>
            </w:r>
          </w:p>
        </w:tc>
        <w:tc>
          <w:tcPr>
            <w:tcW w:type="dxa" w:w="307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ملتزم — لم يُفعَّل بعد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تقرير الالتزام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المستوى</w:t>
            </w:r>
          </w:p>
        </w:tc>
        <w:tc>
          <w:tcPr>
            <w:tcW w:type="dxa" w:w="312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العدد</w:t>
            </w:r>
          </w:p>
        </w:tc>
        <w:tc>
          <w:tcPr>
            <w:tcW w:type="dxa" w:w="312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النسبة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ملتزم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٤٣%</w:t>
            </w:r>
          </w:p>
        </w:tc>
      </w:tr>
      <w:tr>
        <w:trPr>
          <w:tblHeader w:val="false"/>
        </w:trPr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ملتزم جزئياً</w:t>
            </w:r>
          </w:p>
        </w:tc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٢٩%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ملتزم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١٤%</w:t>
            </w:r>
          </w:p>
        </w:tc>
      </w:tr>
      <w:tr>
        <w:trPr>
          <w:tblHeader w:val="false"/>
        </w:trPr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مقيَّم بعد</w:t>
            </w:r>
          </w:p>
        </w:tc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١٤%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الفجوات وخطة المعالجة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116"/>
        <w:gridCol w:w="2146"/>
        <w:gridCol w:w="1975"/>
        <w:gridCol w:w="1889"/>
        <w:gridCol w:w="1116"/>
        <w:gridCol w:w="1118"/>
      </w:tblGrid>
      <w:tr>
        <w:trPr>
          <w:tblHeader/>
        </w:trPr>
        <w:tc>
          <w:tcPr>
            <w:tcW w:type="dxa" w:w="111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#</w:t>
            </w:r>
          </w:p>
        </w:tc>
        <w:tc>
          <w:tcPr>
            <w:tcW w:type="dxa" w:w="214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الفجوة</w:t>
            </w:r>
          </w:p>
        </w:tc>
        <w:tc>
          <w:tcPr>
            <w:tcW w:type="dxa" w:w="197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الأثر</w:t>
            </w:r>
          </w:p>
        </w:tc>
        <w:tc>
          <w:tcPr>
            <w:tcW w:type="dxa" w:w="1889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الإجراء</w:t>
            </w:r>
          </w:p>
        </w:tc>
        <w:tc>
          <w:tcPr>
            <w:tcW w:type="dxa" w:w="111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المالك</w:t>
            </w:r>
          </w:p>
        </w:tc>
        <w:tc>
          <w:tcPr>
            <w:tcW w:type="dxa" w:w="111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الموعد</w:t>
            </w:r>
          </w:p>
        </w:tc>
      </w:tr>
      <w:tr>
        <w:trPr>
          <w:tblHeader w:val="false"/>
        </w:trPr>
        <w:tc>
          <w:tcPr>
            <w:tcW w:type="dxa" w:w="111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214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الأنظمة الستة الحساسة لم تُقيَّم مقابل CSCC-1:2019</w:t>
            </w:r>
          </w:p>
        </w:tc>
        <w:tc>
          <w:tcPr>
            <w:tcW w:type="dxa" w:w="197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مخالفة محتملة لمتطلب تنظيمي على أنظمة حكومية</w:t>
            </w:r>
          </w:p>
        </w:tc>
        <w:tc>
          <w:tcPr>
            <w:tcW w:type="dxa" w:w="188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إجراء تقييم فجوة مستقل لـ CSCC</w:t>
            </w:r>
          </w:p>
        </w:tc>
        <w:tc>
          <w:tcPr>
            <w:tcW w:type="dxa" w:w="111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الحوكمة</w:t>
            </w:r>
          </w:p>
        </w:tc>
        <w:tc>
          <w:tcPr>
            <w:tcW w:type="dxa" w:w="111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١٢٠ يوماً</w:t>
            </w:r>
          </w:p>
        </w:tc>
      </w:tr>
      <w:tr>
        <w:trPr>
          <w:tblHeader w:val="false"/>
        </w:trPr>
        <w:tc>
          <w:tcPr>
            <w:tcW w:type="dxa" w:w="111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214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البيئة السحابية لم تُقيَّم مقابل CCC-1:2020</w:t>
            </w:r>
          </w:p>
        </w:tc>
        <w:tc>
          <w:tcPr>
            <w:tcW w:type="dxa" w:w="197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مخالفة محتملة</w:t>
            </w:r>
          </w:p>
        </w:tc>
        <w:tc>
          <w:tcPr>
            <w:tcW w:type="dxa" w:w="188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إجراء تقييم فجوة لـ CCC</w:t>
            </w:r>
          </w:p>
        </w:tc>
        <w:tc>
          <w:tcPr>
            <w:tcW w:type="dxa" w:w="111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الحوكمة</w:t>
            </w:r>
          </w:p>
        </w:tc>
        <w:tc>
          <w:tcPr>
            <w:tcW w:type="dxa" w:w="111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١٥٠ يوماً</w:t>
            </w:r>
          </w:p>
        </w:tc>
      </w:tr>
      <w:tr>
        <w:trPr>
          <w:tblHeader w:val="false"/>
        </w:trPr>
        <w:tc>
          <w:tcPr>
            <w:tcW w:type="dxa" w:w="111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</w:t>
            </w:r>
          </w:p>
        </w:tc>
        <w:tc>
          <w:tcPr>
            <w:tcW w:type="dxa" w:w="214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تصنيف للبيانات الشخصية ولا ضوابط مبنية عليه</w:t>
            </w:r>
          </w:p>
        </w:tc>
        <w:tc>
          <w:tcPr>
            <w:tcW w:type="dxa" w:w="197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مخالفة نظام حماية البيانات الشخصية</w:t>
            </w:r>
          </w:p>
        </w:tc>
        <w:tc>
          <w:tcPr>
            <w:tcW w:type="dxa" w:w="188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تنفيذ الحزمة WP-14</w:t>
            </w:r>
          </w:p>
        </w:tc>
        <w:tc>
          <w:tcPr>
            <w:tcW w:type="dxa" w:w="111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مدير العمليات السحابية</w:t>
            </w:r>
          </w:p>
        </w:tc>
        <w:tc>
          <w:tcPr>
            <w:tcW w:type="dxa" w:w="111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ضمن المرحلة الثالثة</w:t>
            </w:r>
          </w:p>
        </w:tc>
      </w:tr>
      <w:tr>
        <w:trPr>
          <w:tblHeader w:val="false"/>
        </w:trPr>
        <w:tc>
          <w:tcPr>
            <w:tcW w:type="dxa" w:w="111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214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بند إعادة البيانات وإتلافها غير مطبَّق إجرائياً</w:t>
            </w:r>
          </w:p>
        </w:tc>
        <w:tc>
          <w:tcPr>
            <w:tcW w:type="dxa" w:w="197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التزام تعاقدي متعذّر التنفيذ عند انتهاء أي عقد</w:t>
            </w:r>
          </w:p>
        </w:tc>
        <w:tc>
          <w:tcPr>
            <w:tcW w:type="dxa" w:w="188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بناء إجراء إعادة البيانات وإتلافها</w:t>
            </w:r>
          </w:p>
        </w:tc>
        <w:tc>
          <w:tcPr>
            <w:tcW w:type="dxa" w:w="111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رئيس الأمن السيبراني</w:t>
            </w:r>
          </w:p>
        </w:tc>
        <w:tc>
          <w:tcPr>
            <w:tcW w:type="dxa" w:w="111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٩٠ يوماً</w:t>
            </w:r>
          </w:p>
        </w:tc>
      </w:tr>
      <w:tr>
        <w:trPr>
          <w:tblHeader w:val="false"/>
        </w:trPr>
        <w:tc>
          <w:tcPr>
            <w:tcW w:type="dxa" w:w="111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٥</w:t>
            </w:r>
          </w:p>
        </w:tc>
        <w:tc>
          <w:tcPr>
            <w:tcW w:type="dxa" w:w="214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تقارير الالتزام الدورية للجهات العميلة غير مفعّلة</w:t>
            </w:r>
          </w:p>
        </w:tc>
        <w:tc>
          <w:tcPr>
            <w:tcW w:type="dxa" w:w="197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إخلال تعاقدي مع ست جهات</w:t>
            </w:r>
          </w:p>
        </w:tc>
        <w:tc>
          <w:tcPr>
            <w:tcW w:type="dxa" w:w="188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تفعيل تقرير التزام ربع سنوي لكل جهة</w:t>
            </w:r>
          </w:p>
        </w:tc>
        <w:tc>
          <w:tcPr>
            <w:tcW w:type="dxa" w:w="111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الحوكمة</w:t>
            </w:r>
          </w:p>
        </w:tc>
        <w:tc>
          <w:tcPr>
            <w:tcW w:type="dxa" w:w="111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٦٠ يوماً</w:t>
            </w:r>
          </w:p>
        </w:tc>
      </w:tr>
      <w:tr>
        <w:trPr>
          <w:tblHeader w:val="false"/>
        </w:trPr>
        <w:tc>
          <w:tcPr>
            <w:tcW w:type="dxa" w:w="111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</w:t>
            </w:r>
          </w:p>
        </w:tc>
        <w:tc>
          <w:tcPr>
            <w:tcW w:type="dxa" w:w="214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زمن التعافي غير مثبت بالاختبار</w:t>
            </w:r>
          </w:p>
        </w:tc>
        <w:tc>
          <w:tcPr>
            <w:tcW w:type="dxa" w:w="197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إخلال محتمل بمستويات الخدمة</w:t>
            </w:r>
          </w:p>
        </w:tc>
        <w:tc>
          <w:tcPr>
            <w:tcW w:type="dxa" w:w="188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إعادة اختبار التعافي بعد الإجراءات التصحيحية</w:t>
            </w:r>
          </w:p>
        </w:tc>
        <w:tc>
          <w:tcPr>
            <w:tcW w:type="dxa" w:w="111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مدير العمليات السحابية</w:t>
            </w:r>
          </w:p>
        </w:tc>
        <w:tc>
          <w:tcPr>
            <w:tcW w:type="dxa" w:w="111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٩٠ يوماً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آلية التحديث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496"/>
        <w:gridCol w:w="2808"/>
        <w:gridCol w:w="2028"/>
        <w:gridCol w:w="2028"/>
      </w:tblGrid>
      <w:tr>
        <w:trPr>
          <w:tblHeader/>
        </w:trPr>
        <w:tc>
          <w:tcPr>
            <w:tcW w:type="dxa" w:w="249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المحفّز</w:t>
            </w:r>
          </w:p>
        </w:tc>
        <w:tc>
          <w:tcPr>
            <w:tcW w:type="dxa" w:w="280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الإجراء</w:t>
            </w:r>
          </w:p>
        </w:tc>
        <w:tc>
          <w:tcPr>
            <w:tcW w:type="dxa" w:w="202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المسؤول</w:t>
            </w:r>
          </w:p>
        </w:tc>
        <w:tc>
          <w:tcPr>
            <w:tcW w:type="dxa" w:w="202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المهلة</w:t>
            </w:r>
          </w:p>
        </w:tc>
      </w:tr>
      <w:tr>
        <w:trPr>
          <w:tblHeader w:val="false"/>
        </w:trPr>
        <w:tc>
          <w:tcPr>
            <w:tcW w:type="dxa" w:w="249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صدور متطلب تشريعي أو تنظيمي جديد</w:t>
            </w:r>
          </w:p>
        </w:tc>
        <w:tc>
          <w:tcPr>
            <w:tcW w:type="dxa" w:w="280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إضافته للسجل وتقييم أثره</w:t>
            </w:r>
          </w:p>
        </w:tc>
        <w:tc>
          <w:tcPr>
            <w:tcW w:type="dxa" w:w="202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الحوكمة</w:t>
            </w:r>
          </w:p>
        </w:tc>
        <w:tc>
          <w:tcPr>
            <w:tcW w:type="dxa" w:w="202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٣٠ يوماً</w:t>
            </w:r>
          </w:p>
        </w:tc>
      </w:tr>
      <w:tr>
        <w:trPr>
          <w:tblHeader w:val="false"/>
        </w:trPr>
        <w:tc>
          <w:tcPr>
            <w:tcW w:type="dxa" w:w="249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تحديث متطلب قائم</w:t>
            </w:r>
          </w:p>
        </w:tc>
        <w:tc>
          <w:tcPr>
            <w:tcW w:type="dxa" w:w="280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تحديث السجل ومراجعة الوثائق المتأثرة</w:t>
            </w:r>
          </w:p>
        </w:tc>
        <w:tc>
          <w:tcPr>
            <w:tcW w:type="dxa" w:w="202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الحوكمة</w:t>
            </w:r>
          </w:p>
        </w:tc>
        <w:tc>
          <w:tcPr>
            <w:tcW w:type="dxa" w:w="202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٣٠ يوماً</w:t>
            </w:r>
          </w:p>
        </w:tc>
      </w:tr>
      <w:tr>
        <w:trPr>
          <w:tblHeader w:val="false"/>
        </w:trPr>
        <w:tc>
          <w:tcPr>
            <w:tcW w:type="dxa" w:w="249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توقيع عقد جديد مع جهة عميلة</w:t>
            </w:r>
          </w:p>
        </w:tc>
        <w:tc>
          <w:tcPr>
            <w:tcW w:type="dxa" w:w="280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حصر متطلباته الأمنية وإدراجها</w:t>
            </w:r>
          </w:p>
        </w:tc>
        <w:tc>
          <w:tcPr>
            <w:tcW w:type="dxa" w:w="202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الشؤون القانونية</w:t>
            </w:r>
          </w:p>
        </w:tc>
        <w:tc>
          <w:tcPr>
            <w:tcW w:type="dxa" w:w="202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عند التوقيع</w:t>
            </w:r>
          </w:p>
        </w:tc>
      </w:tr>
      <w:tr>
        <w:trPr>
          <w:tblHeader w:val="false"/>
        </w:trPr>
        <w:tc>
          <w:tcPr>
            <w:tcW w:type="dxa" w:w="249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المراجعة الدورية</w:t>
            </w:r>
          </w:p>
        </w:tc>
        <w:tc>
          <w:tcPr>
            <w:tcW w:type="dxa" w:w="280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مراجعة شاملة للسجل وحالة الالتزام</w:t>
            </w:r>
          </w:p>
        </w:tc>
        <w:tc>
          <w:tcPr>
            <w:tcW w:type="dxa" w:w="202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الحوكمة</w:t>
            </w:r>
          </w:p>
        </w:tc>
        <w:tc>
          <w:tcPr>
            <w:tcW w:type="dxa" w:w="202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نصف سنوي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مصادر المتابعة: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 يُتابَع صدور المتطلبات الجديدة عبر المنصات الرسمية للجهات التنظيمية، ويُعيَّن مسؤول محدد في وحدة الحوكمة لهذه المتابعة.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الاعتماد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829"/>
        <w:gridCol w:w="3870"/>
        <w:gridCol w:w="1829"/>
        <w:gridCol w:w="1832"/>
      </w:tblGrid>
      <w:tr>
        <w:trPr>
          <w:tblHeader/>
        </w:trPr>
        <w:tc>
          <w:tcPr>
            <w:tcW w:type="dxa" w:w="1829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الدور</w:t>
            </w:r>
          </w:p>
        </w:tc>
        <w:tc>
          <w:tcPr>
            <w:tcW w:type="dxa" w:w="387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الاسم</w:t>
            </w:r>
          </w:p>
        </w:tc>
        <w:tc>
          <w:tcPr>
            <w:tcW w:type="dxa" w:w="1829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التوقيع</w:t>
            </w:r>
          </w:p>
        </w:tc>
        <w:tc>
          <w:tcPr>
            <w:tcW w:type="dxa" w:w="183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التاريخ</w:t>
            </w:r>
          </w:p>
        </w:tc>
      </w:tr>
      <w:tr>
        <w:trPr>
          <w:tblHeader w:val="false"/>
        </w:trPr>
        <w:tc>
          <w:tcPr>
            <w:tcW w:type="dxa" w:w="182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أُعدّ بواسطة</w:t>
            </w:r>
          </w:p>
        </w:tc>
        <w:tc>
          <w:tcPr>
            <w:tcW w:type="dxa" w:w="387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الحوكمة والمخاطر والالتزام</w:t>
            </w:r>
          </w:p>
        </w:tc>
        <w:tc>
          <w:tcPr>
            <w:tcW w:type="dxa" w:w="182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83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2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رُوجع بواسطة</w:t>
            </w:r>
          </w:p>
        </w:tc>
        <w:tc>
          <w:tcPr>
            <w:tcW w:type="dxa" w:w="387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الشؤون القانونية · أ. ريم الشهري — رئيس الأمن السيبراني</w:t>
            </w:r>
          </w:p>
        </w:tc>
        <w:tc>
          <w:tcPr>
            <w:tcW w:type="dxa" w:w="182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83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2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اعتُمد بواسطة</w:t>
            </w:r>
          </w:p>
        </w:tc>
        <w:tc>
          <w:tcPr>
            <w:tcW w:type="dxa" w:w="387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م. بدر العتيبي — الرئيس التنفيذي · صاحب الصلاحية</w:t>
            </w:r>
          </w:p>
        </w:tc>
        <w:tc>
          <w:tcPr>
            <w:tcW w:type="dxa" w:w="182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83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تنويه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شركة نَسَق وجميع البيانات والأسماء والأرقام الواردة في هذه الوثيقة افتراضية، وأُعدّت لأغراض التدريب على تطبيق الضوابط الأساسية للأمن السيبراني.</w:t>
      </w:r>
    </w:p>
    <w:sectPr>
      <w:headerReference w:type="default" r:id="rId9"/>
      <w:footerReference w:type="default" r:id="rId10"/>
      <w:pgSz w:w="11906" w:h="16838" w:orient="portrait"/>
      <w:pgMar w:top="10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start"/>
    </w:pPr>
    <w:r>
      <w:rPr>
        <w:rFonts w:ascii="Arial" w:cs="Arial" w:eastAsia="Arial" w:hAnsi="Arial"/>
        <w:b/>
        <w:bCs/>
        <w:color w:val="9E2A2B"/>
        <w:sz w:val="16"/>
        <w:szCs w:val="16"/>
        <w:rtl/>
      </w:rPr>
      <w:t xml:space="preserve">سري</w:t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       صفحة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A6672"/>
        <w:sz w:val="16"/>
        <w:szCs w:val="16"/>
      </w:rPr>
      <w:t xml:space="preserve">	CS-REG-007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start"/>
    </w:pPr>
    <w:r>
      <w:rPr>
        <w:rFonts w:ascii="Arial" w:cs="Arial" w:eastAsia="Arial" w:hAnsi="Arial"/>
        <w:b/>
        <w:bCs/>
        <w:color w:val="9E2A2B"/>
        <w:sz w:val="16"/>
        <w:szCs w:val="16"/>
        <w:rtl/>
      </w:rPr>
      <w:t xml:space="preserve">سري</w:t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       صفحة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A6672"/>
        <w:sz w:val="16"/>
        <w:szCs w:val="16"/>
      </w:rPr>
      <w:t xml:space="preserve">	CS-REG-007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E0E3" w:sz="2" w:space="6"/>
      </w:pBdr>
      <w:bidi/>
      <w:jc w:val="start"/>
    </w:pPr>
    <w:r>
      <w:rPr>
        <w:rFonts w:ascii="Arial" w:cs="Arial" w:eastAsia="Arial" w:hAnsi="Arial"/>
        <w:b/>
        <w:bCs/>
        <w:color w:val="15325C"/>
        <w:sz w:val="16"/>
        <w:szCs w:val="16"/>
        <w:rtl/>
      </w:rPr>
      <w:t xml:space="preserve">شركة نَسَق للحلول الرقمية — إدارة الأمن السيبراني</w:t>
    </w:r>
    <w:r>
      <w:rPr>
        <w:rFonts w:ascii="Arial" w:cs="Arial" w:eastAsia="Arial" w:hAnsi="Arial"/>
        <w:color w:val="5A6672"/>
        <w:sz w:val="16"/>
        <w:szCs w:val="16"/>
      </w:rPr>
      <w:t xml:space="preserve">	CS-REG-007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2026-10-04T11:48:00.736Z</dcterms:created>
  <dcterms:modified xsi:type="dcterms:W3CDTF">2026-10-04T11:48:00.736Z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