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خطة معتمدة</w:t>
            </w:r>
          </w:p>
          <w:p>
            <w:pPr>
              <w:bidi/>
              <w:spacing w:after="120" w:before="0" w:line="420"/>
              <w:jc w:val="start"/>
            </w:pPr>
            <w:r>
              <w:rPr>
                <w:rFonts w:ascii="Arial" w:cs="Arial" w:eastAsia="Arial" w:hAnsi="Arial"/>
                <w:b/>
                <w:bCs/>
                <w:color w:val="FFFFFF"/>
                <w:sz w:val="52"/>
                <w:szCs w:val="52"/>
                <w:rtl/>
              </w:rPr>
              <w:t xml:space="preserve">خطة المراجعة والتدقيق السنوية للأمن السيبراني</w:t>
            </w:r>
          </w:p>
          <w:p>
            <w:pPr>
              <w:bidi/>
              <w:spacing w:after="260" w:before="0" w:line="300"/>
              <w:jc w:val="start"/>
            </w:pPr>
            <w:r>
              <w:rPr>
                <w:rFonts w:ascii="Arial" w:cs="Arial" w:eastAsia="Arial" w:hAnsi="Arial"/>
                <w:b w:val="false"/>
                <w:bCs w:val="false"/>
                <w:color w:val="AFC4D4"/>
                <w:sz w:val="22"/>
                <w:szCs w:val="22"/>
                <w:rtl/>
              </w:rPr>
              <w:t xml:space="preserve">أربع دورات مراجعة · تدقيق مستقل على ١٠٨ ضوابط</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CS-PLN-003</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الحوكمة والمخاطر والالتزام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اللجنة الإشرافية للأمن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1-8-2</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خطة المراجعة والتدقيق السنوية للأمن السيبراني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الخطة نطاق وجدول مراجعة وتدقيق تطبيق ضوابط الأمن السيبراني في شركة نَسَق للحلول الرقمية لعام ١٤٤٨هـ، وتوزّع الضوابط الـ ١٠٨ على دورات المراجعة. وتستوفي متطلب الخطة المعتمدة في الضابط ١-٨-٢، ويُعدّ مخرَجاً من حزمة العمل WP-10.</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727"/>
        <w:gridCol w:w="3633"/>
      </w:tblGrid>
      <w:tr>
        <w:trPr>
          <w:tblHeader/>
        </w:trPr>
        <w:tc>
          <w:tcPr>
            <w:tcW w:type="dxa" w:w="572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6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7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 المراجعة والتدقيق الدوري CS-PRO-007</w:t>
            </w:r>
          </w:p>
        </w:tc>
        <w:tc>
          <w:tcPr>
            <w:tcW w:type="dxa" w:w="36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الإجراء الحاكم</w:t>
            </w:r>
          </w:p>
        </w:tc>
      </w:tr>
      <w:tr>
        <w:trPr>
          <w:tblHeader w:val="false"/>
        </w:trPr>
        <w:tc>
          <w:tcPr>
            <w:tcW w:type="dxa" w:w="57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المعالجة وخارطة الطريق CS-PLN-001</w:t>
            </w:r>
          </w:p>
        </w:tc>
        <w:tc>
          <w:tcPr>
            <w:tcW w:type="dxa" w:w="36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ترتيب تنفيذ الضوابط</w:t>
            </w:r>
          </w:p>
        </w:tc>
      </w:tr>
      <w:tr>
        <w:trPr>
          <w:tblHeader w:val="false"/>
        </w:trPr>
        <w:tc>
          <w:tcPr>
            <w:tcW w:type="dxa" w:w="57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وثائق الأمن السيبراني CS-DOC-005</w:t>
            </w:r>
          </w:p>
        </w:tc>
        <w:tc>
          <w:tcPr>
            <w:tcW w:type="dxa" w:w="36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الوثائق الخاضعة للفحص</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مبدأ التوزيع</w:t>
      </w:r>
    </w:p>
    <w:p>
      <w:pPr>
        <w:bidi/>
        <w:spacing w:after="140" w:before="0" w:line="300"/>
        <w:jc w:val="start"/>
      </w:pPr>
      <w:r>
        <w:rPr>
          <w:rFonts w:ascii="Arial" w:cs="Arial" w:eastAsia="Arial" w:hAnsi="Arial"/>
          <w:b w:val="false"/>
          <w:bCs w:val="false"/>
          <w:color w:val="16202A"/>
          <w:sz w:val="21"/>
          <w:szCs w:val="21"/>
          <w:rtl/>
        </w:rPr>
        <w:t xml:space="preserve">تُراجَع الضوابط المطبَّقة حديثاً في الدورة التالية لتطبيقها مباشرة، لأن الانحراف في الضابط الجديد يظهر مبكراً. أما الضوابط المستقرة فتُراجَع بالتناوب السنوي.</w:t>
      </w:r>
    </w:p>
    <w:p>
      <w:pPr>
        <w:pStyle w:val="Heading2"/>
        <w:bidi/>
        <w:spacing w:after="120" w:before="280" w:line="300"/>
        <w:jc w:val="start"/>
      </w:pPr>
      <w:r>
        <w:rPr>
          <w:rFonts w:ascii="Arial" w:cs="Arial" w:eastAsia="Arial" w:hAnsi="Arial"/>
          <w:b/>
          <w:bCs/>
          <w:color w:val="15325C"/>
          <w:sz w:val="27"/>
          <w:szCs w:val="27"/>
          <w:rtl/>
        </w:rPr>
        <w:t xml:space="preserve">المراجعات الدورية — أربع دورات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502"/>
        <w:gridCol w:w="1502"/>
        <w:gridCol w:w="3351"/>
        <w:gridCol w:w="1502"/>
        <w:gridCol w:w="1503"/>
      </w:tblGrid>
      <w:tr>
        <w:trPr>
          <w:tblHeader/>
        </w:trPr>
        <w:tc>
          <w:tcPr>
            <w:tcW w:type="dxa" w:w="15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الدورة</w:t>
            </w:r>
          </w:p>
        </w:tc>
        <w:tc>
          <w:tcPr>
            <w:tcW w:type="dxa" w:w="15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الفترة</w:t>
            </w:r>
          </w:p>
        </w:tc>
        <w:tc>
          <w:tcPr>
            <w:tcW w:type="dxa" w:w="335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النطاق</w:t>
            </w:r>
          </w:p>
        </w:tc>
        <w:tc>
          <w:tcPr>
            <w:tcW w:type="dxa" w:w="15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عدد الضوابط</w:t>
            </w:r>
          </w:p>
        </w:tc>
        <w:tc>
          <w:tcPr>
            <w:tcW w:type="dxa" w:w="150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المنفّذ</w:t>
            </w:r>
          </w:p>
        </w:tc>
      </w:tr>
      <w:tr>
        <w:trPr>
          <w:tblHeader w:val="false"/>
        </w:trPr>
        <w:tc>
          <w:tcPr>
            <w:tcW w:type="dxa" w:w="1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الأولى</w:t>
            </w:r>
          </w:p>
        </w:tc>
        <w:tc>
          <w:tcPr>
            <w:tcW w:type="dxa" w:w="1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الربع الأول</w:t>
            </w:r>
          </w:p>
        </w:tc>
        <w:tc>
          <w:tcPr>
            <w:tcW w:type="dxa" w:w="335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المنفَّذة في المرحلة الأولى — الفجوات الحرجة</w:t>
            </w:r>
          </w:p>
        </w:tc>
        <w:tc>
          <w:tcPr>
            <w:tcW w:type="dxa" w:w="1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١٥</w:t>
            </w:r>
          </w:p>
        </w:tc>
        <w:tc>
          <w:tcPr>
            <w:tcW w:type="dxa" w:w="15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1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الثانية</w:t>
            </w:r>
          </w:p>
        </w:tc>
        <w:tc>
          <w:tcPr>
            <w:tcW w:type="dxa" w:w="1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الربع الثاني</w:t>
            </w:r>
          </w:p>
        </w:tc>
        <w:tc>
          <w:tcPr>
            <w:tcW w:type="dxa" w:w="335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الحوكمة المنفَّذة في المرحلة الثانية</w:t>
            </w:r>
          </w:p>
        </w:tc>
        <w:tc>
          <w:tcPr>
            <w:tcW w:type="dxa" w:w="1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٣٦</w:t>
            </w:r>
          </w:p>
        </w:tc>
        <w:tc>
          <w:tcPr>
            <w:tcW w:type="dxa" w:w="150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1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الثالثة</w:t>
            </w:r>
          </w:p>
        </w:tc>
        <w:tc>
          <w:tcPr>
            <w:tcW w:type="dxa" w:w="1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الربع الثالث</w:t>
            </w:r>
          </w:p>
        </w:tc>
        <w:tc>
          <w:tcPr>
            <w:tcW w:type="dxa" w:w="335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التحصين التقني المنفَّذة في المرحلة الثالثة</w:t>
            </w:r>
          </w:p>
        </w:tc>
        <w:tc>
          <w:tcPr>
            <w:tcW w:type="dxa" w:w="1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٣٢</w:t>
            </w:r>
          </w:p>
        </w:tc>
        <w:tc>
          <w:tcPr>
            <w:tcW w:type="dxa" w:w="15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1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الرابعة</w:t>
            </w:r>
          </w:p>
        </w:tc>
        <w:tc>
          <w:tcPr>
            <w:tcW w:type="dxa" w:w="1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الربع الرابع</w:t>
            </w:r>
          </w:p>
        </w:tc>
        <w:tc>
          <w:tcPr>
            <w:tcW w:type="dxa" w:w="335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المراجعة الدورية وإعادة فحص عيّنة من الدورات السابقة</w:t>
            </w:r>
          </w:p>
        </w:tc>
        <w:tc>
          <w:tcPr>
            <w:tcW w:type="dxa" w:w="1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 + عيّنة</w:t>
            </w:r>
          </w:p>
        </w:tc>
        <w:tc>
          <w:tcPr>
            <w:tcW w:type="dxa" w:w="150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التدقيق المستقل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16"/>
        <w:gridCol w:w="6744"/>
      </w:tblGrid>
      <w:tr>
        <w:trPr>
          <w:tblHeader/>
        </w:trPr>
        <w:tc>
          <w:tcPr>
            <w:tcW w:type="dxa" w:w="26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674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26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المنفّذ</w:t>
            </w:r>
          </w:p>
        </w:tc>
        <w:tc>
          <w:tcPr>
            <w:tcW w:type="dxa" w:w="67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المراجعة الداخلية بمساندة مراجع خارجي مستقل للجوانب التقنية</w:t>
            </w:r>
          </w:p>
        </w:tc>
      </w:tr>
      <w:tr>
        <w:trPr>
          <w:tblHeader w:val="false"/>
        </w:trPr>
        <w:tc>
          <w:tcPr>
            <w:tcW w:type="dxa" w:w="26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التوقيت</w:t>
            </w:r>
          </w:p>
        </w:tc>
        <w:tc>
          <w:tcPr>
            <w:tcW w:type="dxa" w:w="67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الربع الرابع من كل سنة</w:t>
            </w:r>
          </w:p>
        </w:tc>
      </w:tr>
      <w:tr>
        <w:trPr>
          <w:tblHeader w:val="false"/>
        </w:trPr>
        <w:tc>
          <w:tcPr>
            <w:tcW w:type="dxa" w:w="26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النطاق</w:t>
            </w:r>
          </w:p>
        </w:tc>
        <w:tc>
          <w:tcPr>
            <w:tcW w:type="dxa" w:w="67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جميع متطلبات الأمن السيبراني — الضوابط الـ ١٠٨</w:t>
            </w:r>
          </w:p>
        </w:tc>
      </w:tr>
      <w:tr>
        <w:trPr>
          <w:tblHeader w:val="false"/>
        </w:trPr>
        <w:tc>
          <w:tcPr>
            <w:tcW w:type="dxa" w:w="26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المنهجية</w:t>
            </w:r>
          </w:p>
        </w:tc>
        <w:tc>
          <w:tcPr>
            <w:tcW w:type="dxa" w:w="67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الأدلة ميدانياً · مقابلات · اختبار فعالية الضوابط لا وجودها فقط</w:t>
            </w:r>
          </w:p>
        </w:tc>
      </w:tr>
      <w:tr>
        <w:trPr>
          <w:tblHeader w:val="false"/>
        </w:trPr>
        <w:tc>
          <w:tcPr>
            <w:tcW w:type="dxa" w:w="26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المخرج</w:t>
            </w:r>
          </w:p>
        </w:tc>
        <w:tc>
          <w:tcPr>
            <w:tcW w:type="dxa" w:w="67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تدقيق برأي مستقل يُعرض على اللجنة الإشرافية وصاحب الصلاحية</w:t>
            </w:r>
          </w:p>
        </w:tc>
      </w:tr>
      <w:tr>
        <w:trPr>
          <w:tblHeader w:val="false"/>
        </w:trPr>
        <w:tc>
          <w:tcPr>
            <w:tcW w:type="dxa" w:w="26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الاعتماد</w:t>
            </w:r>
          </w:p>
        </w:tc>
        <w:tc>
          <w:tcPr>
            <w:tcW w:type="dxa" w:w="67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 للأمن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نطاق مساندة المراجع الخارجي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311"/>
        <w:gridCol w:w="5049"/>
      </w:tblGrid>
      <w:tr>
        <w:trPr>
          <w:tblHeader/>
        </w:trPr>
        <w:tc>
          <w:tcPr>
            <w:tcW w:type="dxa" w:w="431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المجال</w:t>
            </w:r>
          </w:p>
        </w:tc>
        <w:tc>
          <w:tcPr>
            <w:tcW w:type="dxa" w:w="504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المبرر</w:t>
            </w:r>
          </w:p>
        </w:tc>
      </w:tr>
      <w:tr>
        <w:trPr>
          <w:tblHeader w:val="false"/>
        </w:trPr>
        <w:tc>
          <w:tcPr>
            <w:tcW w:type="dxa" w:w="43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إعدادات البنية التحتية والسحابة</w:t>
            </w:r>
          </w:p>
        </w:tc>
        <w:tc>
          <w:tcPr>
            <w:tcW w:type="dxa" w:w="50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يتطلب خبرة تقنية غير متوفرة في المراجعة الداخلية</w:t>
            </w:r>
          </w:p>
        </w:tc>
      </w:tr>
      <w:tr>
        <w:trPr>
          <w:tblHeader w:val="false"/>
        </w:trPr>
        <w:tc>
          <w:tcPr>
            <w:tcW w:type="dxa" w:w="43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فعالية ضوابط الشبكة والعزل</w:t>
            </w:r>
          </w:p>
        </w:tc>
        <w:tc>
          <w:tcPr>
            <w:tcW w:type="dxa" w:w="50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يتطلب أدوات اختبار متخصصة</w:t>
            </w:r>
          </w:p>
        </w:tc>
      </w:tr>
      <w:tr>
        <w:trPr>
          <w:tblHeader w:val="false"/>
        </w:trPr>
        <w:tc>
          <w:tcPr>
            <w:tcW w:type="dxa" w:w="43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أمن التطبيقات وخطوط النشر</w:t>
            </w:r>
          </w:p>
        </w:tc>
        <w:tc>
          <w:tcPr>
            <w:tcW w:type="dxa" w:w="50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يتطلب خبرة في تطوير البرمجيات</w:t>
            </w:r>
          </w:p>
        </w:tc>
      </w:tr>
      <w:tr>
        <w:trPr>
          <w:tblHeader w:val="false"/>
        </w:trPr>
        <w:tc>
          <w:tcPr>
            <w:tcW w:type="dxa" w:w="43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مطابقة التشفير للمعايير الوطنية</w:t>
            </w:r>
          </w:p>
        </w:tc>
        <w:tc>
          <w:tcPr>
            <w:tcW w:type="dxa" w:w="50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يتطلب خبرة متخصصة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توزيع الضوابط على الدورات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40"/>
        <w:gridCol w:w="1483"/>
        <w:gridCol w:w="1483"/>
        <w:gridCol w:w="1483"/>
        <w:gridCol w:w="1483"/>
        <w:gridCol w:w="1488"/>
      </w:tblGrid>
      <w:tr>
        <w:trPr>
          <w:tblHeader/>
        </w:trPr>
        <w:tc>
          <w:tcPr>
            <w:tcW w:type="dxa" w:w="19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w:t>
            </w:r>
          </w:p>
        </w:tc>
        <w:tc>
          <w:tcPr>
            <w:tcW w:type="dxa" w:w="148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الضوابط</w:t>
            </w:r>
          </w:p>
        </w:tc>
        <w:tc>
          <w:tcPr>
            <w:tcW w:type="dxa" w:w="148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الدورة الأولى</w:t>
            </w:r>
          </w:p>
        </w:tc>
        <w:tc>
          <w:tcPr>
            <w:tcW w:type="dxa" w:w="148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الثانية</w:t>
            </w:r>
          </w:p>
        </w:tc>
        <w:tc>
          <w:tcPr>
            <w:tcW w:type="dxa" w:w="148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الثالثة</w:t>
            </w:r>
          </w:p>
        </w:tc>
        <w:tc>
          <w:tcPr>
            <w:tcW w:type="dxa" w:w="14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الرابعة</w:t>
            </w:r>
          </w:p>
        </w:tc>
      </w:tr>
      <w:tr>
        <w:trPr>
          <w:tblHeader w:val="false"/>
        </w:trPr>
        <w:tc>
          <w:tcPr>
            <w:tcW w:type="dxa" w:w="19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الأول — الحوكمة</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٣٥</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٢٦</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4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r>
      <w:tr>
        <w:trPr>
          <w:tblHeader w:val="false"/>
        </w:trPr>
        <w:tc>
          <w:tcPr>
            <w:tcW w:type="dxa" w:w="19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الثاني — التعزيز</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٦١</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٢٩</w:t>
            </w:r>
          </w:p>
        </w:tc>
        <w:tc>
          <w:tcPr>
            <w:tcW w:type="dxa" w:w="14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١٦</w:t>
            </w:r>
          </w:p>
        </w:tc>
      </w:tr>
      <w:tr>
        <w:trPr>
          <w:tblHeader w:val="false"/>
        </w:trPr>
        <w:tc>
          <w:tcPr>
            <w:tcW w:type="dxa" w:w="19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الثالث — الصمود</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4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r>
      <w:tr>
        <w:trPr>
          <w:tblHeader w:val="false"/>
        </w:trPr>
        <w:tc>
          <w:tcPr>
            <w:tcW w:type="dxa" w:w="19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الرابع — الأطراف الخارجية والسحابة</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14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r>
      <w:tr>
        <w:trPr>
          <w:tblHeader w:val="false"/>
        </w:trPr>
        <w:tc>
          <w:tcPr>
            <w:tcW w:type="dxa" w:w="1940"/>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الإجمالي</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١٠٨</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١٥</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٣٦</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٣٢</w:t>
            </w:r>
          </w:p>
        </w:tc>
        <w:tc>
          <w:tcPr>
            <w:tcW w:type="dxa" w:w="1488"/>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٢٥</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معايير اختيار العينة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97"/>
        <w:gridCol w:w="6563"/>
      </w:tblGrid>
      <w:tr>
        <w:trPr>
          <w:tblHeader/>
        </w:trPr>
        <w:tc>
          <w:tcPr>
            <w:tcW w:type="dxa" w:w="27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نوع الضابط</w:t>
            </w:r>
          </w:p>
        </w:tc>
        <w:tc>
          <w:tcPr>
            <w:tcW w:type="dxa" w:w="65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حجم العينة</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ضابط وثائقي</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الوثيقة كاملةً مع دليل الاعتماد والتعميم</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ضابط يخص حسابات أو صلاحيات</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 من الحسابات كحد أدنى · جميع الحسابات ذات الصلاحيات الهامة</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ضابط يخص أنظمة</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٢٠٪ من الأنظمة كحد أدنى · جميع الأنظمة المصنّفة حساسة</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ضابط يخص أطرافاً خارجية</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جميع الأطراف المصنّفة حرجة</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ضابط يخص حوادث أو اختبارات</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جميع الحالات في الفترة المشمولة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الموارد المطلوبة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788"/>
        <w:gridCol w:w="5572"/>
      </w:tblGrid>
      <w:tr>
        <w:trPr>
          <w:tblHeader/>
        </w:trPr>
        <w:tc>
          <w:tcPr>
            <w:tcW w:type="dxa" w:w="37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55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التقدير</w:t>
            </w:r>
          </w:p>
        </w:tc>
      </w:tr>
      <w:tr>
        <w:trPr>
          <w:tblHeader w:val="false"/>
        </w:trPr>
        <w:tc>
          <w:tcPr>
            <w:tcW w:type="dxa" w:w="37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جهد وحدة الحوكمة للمراجعات الدورية</w:t>
            </w:r>
          </w:p>
        </w:tc>
        <w:tc>
          <w:tcPr>
            <w:tcW w:type="dxa" w:w="55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٤٠ يوم عمل سنوياً</w:t>
            </w:r>
          </w:p>
        </w:tc>
      </w:tr>
      <w:tr>
        <w:trPr>
          <w:tblHeader w:val="false"/>
        </w:trPr>
        <w:tc>
          <w:tcPr>
            <w:tcW w:type="dxa" w:w="37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جهد المراجعة الداخلية للتدقيق</w:t>
            </w:r>
          </w:p>
        </w:tc>
        <w:tc>
          <w:tcPr>
            <w:tcW w:type="dxa" w:w="55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 يوم عمل سنوياً</w:t>
            </w:r>
          </w:p>
        </w:tc>
      </w:tr>
      <w:tr>
        <w:trPr>
          <w:tblHeader w:val="false"/>
        </w:trPr>
        <w:tc>
          <w:tcPr>
            <w:tcW w:type="dxa" w:w="37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تكلفة المراجع الخارجي المستقل</w:t>
            </w:r>
          </w:p>
        </w:tc>
        <w:tc>
          <w:tcPr>
            <w:tcW w:type="dxa" w:w="55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ضمن بند الخدمات الاستشارية في ميزانية الاستراتيجية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مخرجات الخطة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00"/>
        <w:gridCol w:w="2340"/>
        <w:gridCol w:w="4320"/>
      </w:tblGrid>
      <w:tr>
        <w:trPr>
          <w:tblHeader/>
        </w:trPr>
        <w:tc>
          <w:tcPr>
            <w:tcW w:type="dxa" w:w="27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43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الجهة المستقبِلة</w:t>
            </w:r>
          </w:p>
        </w:tc>
      </w:tr>
      <w:tr>
        <w:trPr>
          <w:tblHeader w:val="false"/>
        </w:trPr>
        <w:tc>
          <w:tcPr>
            <w:tcW w:type="dxa" w:w="2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المراجعة الدورية</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43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 · اللجنة الإشرافية</w:t>
            </w:r>
          </w:p>
        </w:tc>
      </w:tr>
      <w:tr>
        <w:trPr>
          <w:tblHeader w:val="false"/>
        </w:trPr>
        <w:tc>
          <w:tcPr>
            <w:tcW w:type="dxa" w:w="2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التدقيق المستقل</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43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 · صاحب الصلاحية · لجنة المراجعة</w:t>
            </w:r>
          </w:p>
        </w:tc>
      </w:tr>
      <w:tr>
        <w:trPr>
          <w:tblHeader w:val="false"/>
        </w:trPr>
        <w:tc>
          <w:tcPr>
            <w:tcW w:type="dxa" w:w="2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متابعة الملاحظات</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شهري</w:t>
            </w:r>
          </w:p>
        </w:tc>
        <w:tc>
          <w:tcPr>
            <w:tcW w:type="dxa" w:w="43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r>
      <w:tr>
        <w:trPr>
          <w:tblHeader w:val="false"/>
        </w:trPr>
        <w:tc>
          <w:tcPr>
            <w:tcW w:type="dxa" w:w="2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الالتزام السنوي المحدَّث</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43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86"/>
        <w:gridCol w:w="3700"/>
        <w:gridCol w:w="1886"/>
        <w:gridCol w:w="1888"/>
      </w:tblGrid>
      <w:tr>
        <w:trPr>
          <w:tblHeader/>
        </w:trPr>
        <w:tc>
          <w:tcPr>
            <w:tcW w:type="dxa" w:w="18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7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8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8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37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خالد المطيري — مدير المراجعة الداخلية</w:t>
            </w:r>
          </w:p>
        </w:tc>
        <w:tc>
          <w:tcPr>
            <w:tcW w:type="dxa" w:w="18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 للأمن السيبراني — محضر SC-1448-001</w:t>
            </w:r>
          </w:p>
        </w:tc>
        <w:tc>
          <w:tcPr>
            <w:tcW w:type="dxa" w:w="1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CS-PLN-003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CS-PLN-003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CS-PLN-003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2026-10-04T11:48:00.857Z</dcterms:created>
  <dcterms:modified xsi:type="dcterms:W3CDTF">2026-10-04T11:48:00.857Z</dcterms:modified>
</cp:coreProperties>
</file>

<file path=docProps/custom.xml><?xml version="1.0" encoding="utf-8"?>
<Properties xmlns="http://schemas.openxmlformats.org/officeDocument/2006/custom-properties" xmlns:vt="http://schemas.openxmlformats.org/officeDocument/2006/docPropsVTypes"/>
</file>