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إجراء معتمد</w:t>
            </w:r>
          </w:p>
          <w:p>
            <w:pPr>
              <w:bidi/>
              <w:spacing w:after="120" w:before="0" w:line="420"/>
              <w:jc w:val="start"/>
            </w:pPr>
            <w:r>
              <w:rPr>
                <w:rFonts w:ascii="Arial" w:cs="Arial" w:eastAsia="Arial" w:hAnsi="Arial"/>
                <w:b/>
                <w:bCs/>
                <w:color w:val="FFFFFF"/>
                <w:sz w:val="52"/>
                <w:szCs w:val="52"/>
                <w:rtl/>
              </w:rPr>
              <w:t xml:space="preserve">إجراء المراجعة والتدقيق الدوري للأمن السيبراني</w:t>
            </w:r>
          </w:p>
          <w:p>
            <w:pPr>
              <w:bidi/>
              <w:spacing w:after="260" w:before="0" w:line="300"/>
              <w:jc w:val="start"/>
            </w:pPr>
            <w:r>
              <w:rPr>
                <w:rFonts w:ascii="Arial" w:cs="Arial" w:eastAsia="Arial" w:hAnsi="Arial"/>
                <w:b w:val="false"/>
                <w:bCs w:val="false"/>
                <w:color w:val="AFC4D4"/>
                <w:sz w:val="22"/>
                <w:szCs w:val="22"/>
                <w:rtl/>
              </w:rPr>
              <w:t xml:space="preserve">الفصل بين المراجعة الذاتية والتدقيق المستقل · ضمانات الاستقلالية</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CS-PRO-007</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الحوكمة والمخاطر والالتزام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1-8-1 · 1-8-2</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إجراء المراجعة والتدقيق الدوري للأمن السيبراني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الإجراء آلية مراجعة وتدقيق تطبيق ضوابط الأمن السيبراني في شركة نَسَق للحلول الرقمية، ويفصل بين المراجعة التي تنفّذها إدارة الأمن السيبراني والتدقيق الذي تنفّذه جهة مستقلة عنها، ويُعدّ مخرَجاً من حزمة العمل WP-10.</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400"/>
        <w:gridCol w:w="3960"/>
      </w:tblGrid>
      <w:tr>
        <w:trPr>
          <w:tblHeader/>
        </w:trPr>
        <w:tc>
          <w:tcPr>
            <w:tcW w:type="dxa" w:w="54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96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4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١-٨</w:t>
            </w:r>
          </w:p>
        </w:tc>
        <w:tc>
          <w:tcPr>
            <w:tcW w:type="dxa" w:w="39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يستوفيها هذا الإجراء</w:t>
            </w:r>
          </w:p>
        </w:tc>
      </w:tr>
      <w:tr>
        <w:trPr>
          <w:tblHeader w:val="false"/>
        </w:trPr>
        <w:tc>
          <w:tcPr>
            <w:tcW w:type="dxa" w:w="54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العامة للأمن السيبراني CS-POL-003</w:t>
            </w:r>
          </w:p>
        </w:tc>
        <w:tc>
          <w:tcPr>
            <w:tcW w:type="dxa" w:w="39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الوثيقة الحاكمة</w:t>
            </w:r>
          </w:p>
        </w:tc>
      </w:tr>
      <w:tr>
        <w:trPr>
          <w:tblHeader w:val="false"/>
        </w:trPr>
        <w:tc>
          <w:tcPr>
            <w:tcW w:type="dxa" w:w="54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 التحقق من الالتزام بالسياسات CS-PRO-006</w:t>
            </w:r>
          </w:p>
        </w:tc>
        <w:tc>
          <w:tcPr>
            <w:tcW w:type="dxa" w:w="39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التشغيلي المستمر</w:t>
            </w:r>
          </w:p>
        </w:tc>
      </w:tr>
      <w:tr>
        <w:trPr>
          <w:tblHeader w:val="false"/>
        </w:trPr>
        <w:tc>
          <w:tcPr>
            <w:tcW w:type="dxa" w:w="54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ميثاق اللجنة الإشرافية CS-DOC-003</w:t>
            </w:r>
          </w:p>
        </w:tc>
        <w:tc>
          <w:tcPr>
            <w:tcW w:type="dxa" w:w="39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الجهة التي تُعرض عليها النتائج</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التمييز بين المراجعة والتدقيق</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11"/>
        <w:gridCol w:w="3326"/>
        <w:gridCol w:w="4023"/>
      </w:tblGrid>
      <w:tr>
        <w:trPr>
          <w:tblHeader/>
        </w:trPr>
        <w:tc>
          <w:tcPr>
            <w:tcW w:type="dxa" w:w="201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33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المراجعة الدورية</w:t>
            </w:r>
          </w:p>
        </w:tc>
        <w:tc>
          <w:tcPr>
            <w:tcW w:type="dxa" w:w="402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التدقيق المستقل</w:t>
            </w:r>
          </w:p>
        </w:tc>
      </w:tr>
      <w:tr>
        <w:trPr>
          <w:tblHeader w:val="false"/>
        </w:trPr>
        <w:tc>
          <w:tcPr>
            <w:tcW w:type="dxa" w:w="2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w:t>
            </w:r>
          </w:p>
        </w:tc>
        <w:tc>
          <w:tcPr>
            <w:tcW w:type="dxa" w:w="33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١-٨-١</w:t>
            </w:r>
          </w:p>
        </w:tc>
        <w:tc>
          <w:tcPr>
            <w:tcW w:type="dxa" w:w="40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١-٨-٢</w:t>
            </w:r>
          </w:p>
        </w:tc>
      </w:tr>
      <w:tr>
        <w:trPr>
          <w:tblHeader w:val="false"/>
        </w:trPr>
        <w:tc>
          <w:tcPr>
            <w:tcW w:type="dxa" w:w="2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المنفّذ</w:t>
            </w:r>
          </w:p>
        </w:tc>
        <w:tc>
          <w:tcPr>
            <w:tcW w:type="dxa" w:w="33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الأمن السيبراني — وحدة الحوكمة</w:t>
            </w:r>
          </w:p>
        </w:tc>
        <w:tc>
          <w:tcPr>
            <w:tcW w:type="dxa" w:w="40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 الداخلية · مراجع خارجي مستقل</w:t>
            </w:r>
          </w:p>
        </w:tc>
      </w:tr>
      <w:tr>
        <w:trPr>
          <w:tblHeader w:val="false"/>
        </w:trPr>
        <w:tc>
          <w:tcPr>
            <w:tcW w:type="dxa" w:w="2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الغرض</w:t>
            </w:r>
          </w:p>
        </w:tc>
        <w:tc>
          <w:tcPr>
            <w:tcW w:type="dxa" w:w="33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التأكد من التطبيق واكتشاف الانحرافات مبكراً</w:t>
            </w:r>
          </w:p>
        </w:tc>
        <w:tc>
          <w:tcPr>
            <w:tcW w:type="dxa" w:w="40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المستقل من صحة ما تقوله إدارة الأمن السيبراني</w:t>
            </w:r>
          </w:p>
        </w:tc>
      </w:tr>
      <w:tr>
        <w:trPr>
          <w:tblHeader w:val="false"/>
        </w:trPr>
        <w:tc>
          <w:tcPr>
            <w:tcW w:type="dxa" w:w="2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الدورية</w:t>
            </w:r>
          </w:p>
        </w:tc>
        <w:tc>
          <w:tcPr>
            <w:tcW w:type="dxa" w:w="33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40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r>
      <w:tr>
        <w:trPr>
          <w:tblHeader w:val="false"/>
        </w:trPr>
        <w:tc>
          <w:tcPr>
            <w:tcW w:type="dxa" w:w="2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النطاق</w:t>
            </w:r>
          </w:p>
        </w:tc>
        <w:tc>
          <w:tcPr>
            <w:tcW w:type="dxa" w:w="33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جزء من الضوابط بالتناوب</w:t>
            </w:r>
          </w:p>
        </w:tc>
        <w:tc>
          <w:tcPr>
            <w:tcW w:type="dxa" w:w="402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جميع متطلبات الأمن السيبراني</w:t>
            </w:r>
          </w:p>
        </w:tc>
      </w:tr>
      <w:tr>
        <w:trPr>
          <w:tblHeader w:val="false"/>
        </w:trPr>
        <w:tc>
          <w:tcPr>
            <w:tcW w:type="dxa" w:w="2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الاستقلالية</w:t>
            </w:r>
          </w:p>
        </w:tc>
        <w:tc>
          <w:tcPr>
            <w:tcW w:type="dxa" w:w="33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مستقل — الجهة تراجع عملها</w:t>
            </w:r>
          </w:p>
        </w:tc>
        <w:tc>
          <w:tcPr>
            <w:tcW w:type="dxa" w:w="402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مستقل عن إدارة الأمن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لماذا الفصل ضروري:</w:t>
      </w:r>
      <w:r>
        <w:rPr>
          <w:rFonts w:ascii="Arial" w:cs="Arial" w:eastAsia="Arial" w:hAnsi="Arial"/>
          <w:b w:val="false"/>
          <w:bCs w:val="false"/>
          <w:color w:val="16202A"/>
          <w:sz w:val="21"/>
          <w:szCs w:val="21"/>
          <w:rtl/>
        </w:rPr>
        <w:t xml:space="preserve"> المراجعة الذاتية تكشف الانحرافات التشغيلية لكنها لا تكشف التحيّز. الجهة التي تُقيّم نفسها تميل إلى تفسير الأدلة الناقصة لصالحها. ولهذا يشترط الضابط ١-٨-٢ جهة مستقلة.</w:t>
      </w:r>
    </w:p>
    <w:p>
      <w:pPr>
        <w:pStyle w:val="Heading2"/>
        <w:bidi/>
        <w:spacing w:after="120" w:before="280" w:line="300"/>
        <w:jc w:val="start"/>
      </w:pPr>
      <w:r>
        <w:rPr>
          <w:rFonts w:ascii="Arial" w:cs="Arial" w:eastAsia="Arial" w:hAnsi="Arial"/>
          <w:b/>
          <w:bCs/>
          <w:color w:val="15325C"/>
          <w:sz w:val="27"/>
          <w:szCs w:val="27"/>
          <w:rtl/>
        </w:rPr>
        <w:t xml:space="preserve">المراجعة الدورية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28"/>
        <w:gridCol w:w="3276"/>
        <w:gridCol w:w="2028"/>
        <w:gridCol w:w="2028"/>
      </w:tblGrid>
      <w:tr>
        <w:trPr>
          <w:tblHeader/>
        </w:trPr>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327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32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تحديد نطاق الدورة وفق خطة المراجعة السنوية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نطاق معتمد</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32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جمع الأدلة من الإدارات المعنية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الإدارات المعنية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ملف أدلة</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32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الأدلة مقابل نص الضابط ومعايير القبول</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نتائج أولية</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32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تحديث حالة الضوابط في سجل الالتزام</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التزام محدَّثة</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32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تسجيل الملاحظات وتصنيفها</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قائمة ملاحظات</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32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الاتفاق على الإجراءات التصحيحية ومالكيها</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الإدارات المعنية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معالجة</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32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رفع التقرير لرئيس الأمن السيبراني</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المراجعة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التدقيق المستقل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97"/>
        <w:gridCol w:w="4760"/>
        <w:gridCol w:w="2503"/>
      </w:tblGrid>
      <w:tr>
        <w:trPr>
          <w:tblHeader/>
        </w:trPr>
        <w:tc>
          <w:tcPr>
            <w:tcW w:type="dxa" w:w="20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476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250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47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خطة التدقيق السنوية من اللجنة الإشرافية</w:t>
            </w:r>
          </w:p>
        </w:tc>
        <w:tc>
          <w:tcPr>
            <w:tcW w:type="dxa" w:w="25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 الداخلية</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47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التدقيق على جميع متطلبات الأمن السيبراني</w:t>
            </w:r>
          </w:p>
        </w:tc>
        <w:tc>
          <w:tcPr>
            <w:tcW w:type="dxa" w:w="250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 الداخلية · مراجع خارجي</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47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الأدلة ميدانياً لا مكتبياً فقط</w:t>
            </w:r>
          </w:p>
        </w:tc>
        <w:tc>
          <w:tcPr>
            <w:tcW w:type="dxa" w:w="25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47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مناقشة الملاحظات مع إدارة الأمن السيبراني قبل إصدار التقرير</w:t>
            </w:r>
          </w:p>
        </w:tc>
        <w:tc>
          <w:tcPr>
            <w:tcW w:type="dxa" w:w="250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47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إصدار تقرير التدقيق متضمناً رأياً مستقلاً</w:t>
            </w:r>
          </w:p>
        </w:tc>
        <w:tc>
          <w:tcPr>
            <w:tcW w:type="dxa" w:w="25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47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عرض التقرير على اللجنة الإشرافية وصاحب الصلاحية</w:t>
            </w:r>
          </w:p>
        </w:tc>
        <w:tc>
          <w:tcPr>
            <w:tcW w:type="dxa" w:w="250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 الداخلية</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47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متابعة إغلاق الملاحظات</w:t>
            </w:r>
          </w:p>
        </w:tc>
        <w:tc>
          <w:tcPr>
            <w:tcW w:type="dxa" w:w="25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 الداخلية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ضمانات الاستقلالية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يخضع المراجع الداخلي لإدارة الأمن السيبراني إدارياً ولا وظيفياً.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يُشارك المراجع في إعداد الوثائق أو تنفيذ الضوابط التي يدققها.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يرفع المراجع تقاريره إلى اللجنة الإشرافية ولجنة المراجعة المنبثقة عن مجلس الإدارة مباشرة.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تُعدَّل نتائج التدقيق أو تُحذف ملاحظاته إلا باعتراض موثق من الإدارة يُدرَج في التقرير دون حذف الملاحظة.</w:t>
      </w:r>
    </w:p>
    <w:p>
      <w:pPr>
        <w:pStyle w:val="Heading2"/>
        <w:bidi/>
        <w:spacing w:after="120" w:before="280" w:line="300"/>
        <w:jc w:val="start"/>
      </w:pPr>
      <w:r>
        <w:rPr>
          <w:rFonts w:ascii="Arial" w:cs="Arial" w:eastAsia="Arial" w:hAnsi="Arial"/>
          <w:b/>
          <w:bCs/>
          <w:color w:val="15325C"/>
          <w:sz w:val="27"/>
          <w:szCs w:val="27"/>
          <w:rtl/>
        </w:rPr>
        <w:t xml:space="preserve">محتوى تقرير المراجعة أو التدقيق</w:t>
      </w:r>
    </w:p>
    <w:p>
      <w:pPr>
        <w:bidi/>
        <w:spacing w:after="140" w:before="0" w:line="300"/>
        <w:jc w:val="start"/>
      </w:pPr>
      <w:r>
        <w:rPr>
          <w:rFonts w:ascii="Arial" w:cs="Arial" w:eastAsia="Arial" w:hAnsi="Arial"/>
          <w:b w:val="false"/>
          <w:bCs w:val="false"/>
          <w:color w:val="16202A"/>
          <w:sz w:val="21"/>
          <w:szCs w:val="21"/>
          <w:rtl/>
        </w:rPr>
        <w:t xml:space="preserve">يشترط الضابط ١-٨-٣ أن تشتمل النتائج على العناصر التالية، ولا يُعدّ التقرير مكتملاً بدونها: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632"/>
        <w:gridCol w:w="5728"/>
      </w:tblGrid>
      <w:tr>
        <w:trPr>
          <w:tblHeader/>
        </w:trPr>
        <w:tc>
          <w:tcPr>
            <w:tcW w:type="dxa" w:w="363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57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العنصر</w:t>
            </w:r>
          </w:p>
        </w:tc>
      </w:tr>
      <w:tr>
        <w:trPr>
          <w:tblHeader w:val="false"/>
        </w:trPr>
        <w:tc>
          <w:tcPr>
            <w:tcW w:type="dxa" w:w="36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5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نطاق المراجعة أو التدقيق والفترة المشمولة</w:t>
            </w:r>
          </w:p>
        </w:tc>
      </w:tr>
      <w:tr>
        <w:trPr>
          <w:tblHeader w:val="false"/>
        </w:trPr>
        <w:tc>
          <w:tcPr>
            <w:tcW w:type="dxa" w:w="36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5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المنهجية والأدلة المفحوصة وحجم العينة</w:t>
            </w:r>
          </w:p>
        </w:tc>
      </w:tr>
      <w:tr>
        <w:trPr>
          <w:tblHeader w:val="false"/>
        </w:trPr>
        <w:tc>
          <w:tcPr>
            <w:tcW w:type="dxa" w:w="36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5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الملاحظات المكتشفة مصنّفة بحسب الخطورة</w:t>
            </w:r>
          </w:p>
        </w:tc>
      </w:tr>
      <w:tr>
        <w:trPr>
          <w:tblHeader w:val="false"/>
        </w:trPr>
        <w:tc>
          <w:tcPr>
            <w:tcW w:type="dxa" w:w="36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5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التوصيات</w:t>
            </w:r>
          </w:p>
        </w:tc>
      </w:tr>
      <w:tr>
        <w:trPr>
          <w:tblHeader w:val="false"/>
        </w:trPr>
        <w:tc>
          <w:tcPr>
            <w:tcW w:type="dxa" w:w="36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5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الإجراءات التصحيحية المتفق عليها</w:t>
            </w:r>
          </w:p>
        </w:tc>
      </w:tr>
      <w:tr>
        <w:trPr>
          <w:tblHeader w:val="false"/>
        </w:trPr>
        <w:tc>
          <w:tcPr>
            <w:tcW w:type="dxa" w:w="36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5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معالجة الملاحظات بمالكين ومواعيد</w:t>
            </w:r>
          </w:p>
        </w:tc>
      </w:tr>
      <w:tr>
        <w:trPr>
          <w:tblHeader w:val="false"/>
        </w:trPr>
        <w:tc>
          <w:tcPr>
            <w:tcW w:type="dxa" w:w="36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5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حالة ملاحظات الدورة السابقة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تصنيف الملاحظات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34"/>
        <w:gridCol w:w="5090"/>
        <w:gridCol w:w="2136"/>
      </w:tblGrid>
      <w:tr>
        <w:trPr>
          <w:tblHeader/>
        </w:trPr>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509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المعيار</w:t>
            </w:r>
          </w:p>
        </w:tc>
        <w:tc>
          <w:tcPr>
            <w:tcW w:type="dxa" w:w="213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مهلة المعالجة</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جوهرية</w:t>
            </w:r>
          </w:p>
        </w:tc>
        <w:tc>
          <w:tcPr>
            <w:tcW w:type="dxa" w:w="509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ضابط غير مطبَّق يترتب عليه خطر قابل للاستغلال أو مخالفة نظامية</w:t>
            </w:r>
          </w:p>
        </w:tc>
        <w:tc>
          <w:tcPr>
            <w:tcW w:type="dxa" w:w="21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يوماً</w:t>
            </w:r>
          </w:p>
        </w:tc>
      </w:tr>
      <w:tr>
        <w:trPr>
          <w:tblHeader w:val="false"/>
        </w:trPr>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مهمة</w:t>
            </w:r>
          </w:p>
        </w:tc>
        <w:tc>
          <w:tcPr>
            <w:tcW w:type="dxa" w:w="509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ضابط مطبَّق جزئياً أو ينقصه الدليل</w:t>
            </w:r>
          </w:p>
        </w:tc>
        <w:tc>
          <w:tcPr>
            <w:tcW w:type="dxa" w:w="21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٩٠ يوماً</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تحسينية</w:t>
            </w:r>
          </w:p>
        </w:tc>
        <w:tc>
          <w:tcPr>
            <w:tcW w:type="dxa" w:w="509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فرصة لتحسين الفعالية دون مخالفة</w:t>
            </w:r>
          </w:p>
        </w:tc>
        <w:tc>
          <w:tcPr>
            <w:tcW w:type="dxa" w:w="21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١٨٠ يوماً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عرض النتائج</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27"/>
        <w:gridCol w:w="3941"/>
        <w:gridCol w:w="2792"/>
      </w:tblGrid>
      <w:tr>
        <w:trPr>
          <w:tblHeader/>
        </w:trPr>
        <w:tc>
          <w:tcPr>
            <w:tcW w:type="dxa" w:w="262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الجهة</w:t>
            </w:r>
          </w:p>
        </w:tc>
        <w:tc>
          <w:tcPr>
            <w:tcW w:type="dxa" w:w="394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ما يُعرض</w:t>
            </w:r>
          </w:p>
        </w:tc>
        <w:tc>
          <w:tcPr>
            <w:tcW w:type="dxa" w:w="27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r>
      <w:tr>
        <w:trPr>
          <w:tblHeader w:val="false"/>
        </w:trPr>
        <w:tc>
          <w:tcPr>
            <w:tcW w:type="dxa" w:w="26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394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المراجعة الدورية كاملاً</w:t>
            </w:r>
          </w:p>
        </w:tc>
        <w:tc>
          <w:tcPr>
            <w:tcW w:type="dxa" w:w="27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r>
      <w:tr>
        <w:trPr>
          <w:tblHeader w:val="false"/>
        </w:trPr>
        <w:tc>
          <w:tcPr>
            <w:tcW w:type="dxa" w:w="26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 للأمن السيبراني</w:t>
            </w:r>
          </w:p>
        </w:tc>
        <w:tc>
          <w:tcPr>
            <w:tcW w:type="dxa" w:w="394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نتائج المراجعة والتدقيق والملاحظات وخطة المعالجة</w:t>
            </w:r>
          </w:p>
        </w:tc>
        <w:tc>
          <w:tcPr>
            <w:tcW w:type="dxa" w:w="27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 · وفور صدور تقرير التدقيق</w:t>
            </w:r>
          </w:p>
        </w:tc>
      </w:tr>
      <w:tr>
        <w:trPr>
          <w:tblHeader w:val="false"/>
        </w:trPr>
        <w:tc>
          <w:tcPr>
            <w:tcW w:type="dxa" w:w="26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صاحب الصلاحية</w:t>
            </w:r>
          </w:p>
        </w:tc>
        <w:tc>
          <w:tcPr>
            <w:tcW w:type="dxa" w:w="394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نتائج التدقيق المستقل والملاحظات الجوهرية</w:t>
            </w:r>
          </w:p>
        </w:tc>
        <w:tc>
          <w:tcPr>
            <w:tcW w:type="dxa" w:w="27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 · وفور رصد ملاحظة جوهرية</w:t>
            </w:r>
          </w:p>
        </w:tc>
      </w:tr>
      <w:tr>
        <w:trPr>
          <w:tblHeader w:val="false"/>
        </w:trPr>
        <w:tc>
          <w:tcPr>
            <w:tcW w:type="dxa" w:w="26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لجنة المخاطر والالتزام</w:t>
            </w:r>
          </w:p>
        </w:tc>
        <w:tc>
          <w:tcPr>
            <w:tcW w:type="dxa" w:w="394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ملخص النتائج ومستوى الالتزام</w:t>
            </w:r>
          </w:p>
        </w:tc>
        <w:tc>
          <w:tcPr>
            <w:tcW w:type="dxa" w:w="27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يُوثَّق العرض</w:t>
      </w:r>
      <w:r>
        <w:rPr>
          <w:rFonts w:ascii="Arial" w:cs="Arial" w:eastAsia="Arial" w:hAnsi="Arial"/>
          <w:b w:val="false"/>
          <w:bCs w:val="false"/>
          <w:color w:val="16202A"/>
          <w:sz w:val="21"/>
          <w:szCs w:val="21"/>
          <w:rtl/>
        </w:rPr>
        <w:t xml:space="preserve"> بمحضر اجتماع اللجنة الإشرافية يتضمن رقم التقرير وتاريخ العرض والقرارات المتخذة، ويُعدّ المحضر دليل التزام بالضابط ١-٨-٣.</w:t>
      </w:r>
    </w:p>
    <w:p>
      <w:pPr>
        <w:pStyle w:val="Heading2"/>
        <w:bidi/>
        <w:spacing w:after="120" w:before="280" w:line="300"/>
        <w:jc w:val="start"/>
      </w:pPr>
      <w:r>
        <w:rPr>
          <w:rFonts w:ascii="Arial" w:cs="Arial" w:eastAsia="Arial" w:hAnsi="Arial"/>
          <w:b/>
          <w:bCs/>
          <w:color w:val="15325C"/>
          <w:sz w:val="27"/>
          <w:szCs w:val="27"/>
          <w:rtl/>
        </w:rPr>
        <w:t xml:space="preserve">متابعة الملاحظات</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تُتابَع الملاحظات المفتوحة شهرياً وتُرفع حالتها لرئيس الأمن السيبراني.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تجاوز مهلة معالجة ملاحظة جوهرية يُصعَّد للرئيس التنفيذي.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تُغلق ملاحظة إلا بدليل يثبت المعالجة، ولا يكفي إقرار المالك بالإغلاق.</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تُراجَع الملاحظات المغلقة في الدورة التالية للتأكد من عدم عودتها.</w:t>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الإجراء سنوياً على الأقل.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خالد المطيري — مدير المراجعة الداخلية</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CS-PRO-007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2026-10-04T11:48:00.802Z</dcterms:created>
  <dcterms:modified xsi:type="dcterms:W3CDTF">2026-10-04T11:48:00.802Z</dcterms:modified>
</cp:coreProperties>
</file>

<file path=docProps/custom.xml><?xml version="1.0" encoding="utf-8"?>
<Properties xmlns="http://schemas.openxmlformats.org/officeDocument/2006/custom-properties" xmlns:vt="http://schemas.openxmlformats.org/officeDocument/2006/docPropsVTypes"/>
</file>