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/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C1F3D" w:color="auto" w:val="clear"/>
            <w:tcMar>
              <w:top w:type="dxa" w:w="340"/>
              <w:left w:type="dxa" w:w="340"/>
              <w:bottom w:type="dxa" w:w="340"/>
              <w:right w:type="dxa" w:w="340"/>
            </w:tcMar>
          </w:tcPr>
          <w:p>
            <w:pPr>
              <w:bidi/>
              <w:spacing w:after="40" w:before="0" w:line="30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  <w:rtl/>
              </w:rPr>
              <w:t xml:space="preserve">شركة نَسَق للحلول الرقمية</w:t>
            </w:r>
          </w:p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9FB6C9"/>
                <w:sz w:val="18"/>
                <w:szCs w:val="18"/>
                <w:rtl/>
              </w:rPr>
              <w:t xml:space="preserve">إدارة الأمن السيبراني</w:t>
            </w:r>
          </w:p>
          <w:p>
            <w:pPr>
              <w:bidi/>
              <w:spacing w:after="700" w:before="0" w:line="300"/>
              <w:jc w:val="start"/>
            </w:pPr>
            <w:r>
              <w:rPr>
                <w:rFonts w:ascii="Arial" w:cs="Arial" w:eastAsia="Arial" w:hAnsi="Arial"/>
                <w:color w:val="6E8CA6"/>
                <w:sz w:val="14"/>
                <w:szCs w:val="14"/>
              </w:rPr>
              <w:t xml:space="preserve">NASAQ DIGITAL SOLUTIONS CO</w:t>
            </w:r>
          </w:p>
          <w:p>
            <w:pPr>
              <w:bidi/>
              <w:spacing w:after="9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C9A227"/>
                <w:sz w:val="19"/>
                <w:szCs w:val="19"/>
                <w:rtl/>
              </w:rPr>
              <w:t xml:space="preserve">تقرير مراجعة</w:t>
            </w:r>
          </w:p>
          <w:p>
            <w:pPr>
              <w:bidi/>
              <w:spacing w:after="120" w:before="0" w:line="42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  <w:rtl/>
              </w:rPr>
              <w:t xml:space="preserve">تقرير المراجعة الدورية — الدورة الأولى</w:t>
            </w:r>
          </w:p>
          <w:p>
            <w:pPr>
              <w:bidi/>
              <w:spacing w:after="26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AFC4D4"/>
                <w:sz w:val="22"/>
                <w:szCs w:val="22"/>
                <w:rtl/>
              </w:rPr>
              <w:t xml:space="preserve">خمسة عشر ضابطاً حرجاً · إحدى عشرة ملاحظة · خطة معالجة</w:t>
            </w:r>
          </w:p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/>
                <w:bCs/>
                <w:color w:val="C9A227"/>
                <w:sz w:val="18"/>
                <w:szCs w:val="18"/>
                <w:rtl/>
              </w:rPr>
              <w:t xml:space="preserve">تصنيف الوثيقة: سري</w:t>
            </w:r>
          </w:p>
        </w:tc>
      </w:tr>
    </w:tbl>
    <w:p>
      <w:pPr>
        <w:bidi/>
        <w:spacing w:after="26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12"/>
          <w:szCs w:val="12"/>
          <w:rtl/>
        </w:rPr>
        <w:t xml:space="preserve"/>
      </w:r>
    </w:p>
    <w:tbl>
      <w:tblPr>
        <w:bidiVisual/>
        <w:tblW w:type="dxa" w:w="9360"/>
        <w:tblBorders>
          <w:top w:val="none"/>
          <w:left w:val="none"/>
          <w:bottom w:val="none"/>
          <w:right w:val="none"/>
          <w:insideH w:val="single" w:color="D8E0E3" w:sz="2"/>
          <w:insideV w:val="none"/>
        </w:tblBorders>
      </w:tblPr>
      <w:tblGrid>
        <w:gridCol w:w="3400"/>
        <w:gridCol w:w="5960"/>
      </w:tblGrid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رقم الوثيقة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CS-REG-008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رقم الإصدار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1.0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مالك الوثيقة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وحدة الحوكمة والمخاطر والالتزام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جهة الاعتماد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الرئيس التنفيذي — صاحب الصلاحية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تاريخ الاعتماد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١ ربيع الأول ١٤٤٨هـ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تاريخ المراجعة القادمة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ربع سنوي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الضابط المرتبط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ECC-2:2024 — 1-8-1 · 1-8-3</w:t>
            </w:r>
          </w:p>
        </w:tc>
      </w:tr>
    </w:tbl>
    <w:p>
      <w:pPr>
        <w:bidi/>
        <w:spacing w:after="36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12"/>
          <w:szCs w:val="12"/>
          <w:rtl/>
        </w:rPr>
        <w:t xml:space="preserve"/>
      </w:r>
    </w:p>
    <w:p>
      <w:pPr>
        <w:bidi/>
        <w:spacing w:after="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5A6672"/>
          <w:sz w:val="16"/>
          <w:szCs w:val="16"/>
          <w:rtl/>
        </w:rPr>
        <w:t xml:space="preserve">هذه الوثيقة ملكية فكرية لـ شركة نَسَق للحلول الرقمية، وتصنيفها «سري». لا يجوز نسخها أو تداولها خارج الشركة دون موافقة خطية من مالك الوثيقة.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000" w:right="1080" w:bottom="900" w:left="1080" w:header="708" w:footer="708" w:gutter="0"/>
          <w:pgNumType/>
          <w:docGrid w:linePitch="360"/>
        </w:sectPr>
      </w:pPr>
    </w:p>
    <w:p>
      <w:pPr>
        <w:pStyle w:val="Heading1"/>
        <w:bidi/>
        <w:spacing w:after="200" w:before="0" w:line="300"/>
        <w:jc w:val="start"/>
      </w:pPr>
      <w:r>
        <w:rPr>
          <w:rFonts w:ascii="Arial" w:cs="Arial" w:eastAsia="Arial" w:hAnsi="Arial"/>
          <w:b/>
          <w:bCs/>
          <w:color w:val="15325C"/>
          <w:sz w:val="32"/>
          <w:szCs w:val="32"/>
          <w:rtl/>
        </w:rPr>
        <w:t xml:space="preserve">تقرير المراجعة الدورية للأمن السيبراني — الدورة الأولى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الغرض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يوثّق هذا التقرير نتائج المراجعة الدورية الأولى لتطبيق ضوابط الأمن السيبراني في شركة نَسَق للحلول الرقمية، والملاحظات المكتشفة وخطة معالجتها، وإثبات عرضها على اللجنة الإشرافية وصاحب الصلاحية. ويستوفي الضابطين ١-٨-١ و ١-٨-٣، ويُعدّ مخرَجاً من حزمة العمل WP-10.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بيانات المراجعة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2588"/>
        <w:gridCol w:w="6772"/>
      </w:tblGrid>
      <w:tr>
        <w:trPr>
          <w:tblHeader/>
        </w:trPr>
        <w:tc>
          <w:tcPr>
            <w:tcW w:type="dxa" w:w="2588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البند</w:t>
            </w:r>
          </w:p>
        </w:tc>
        <w:tc>
          <w:tcPr>
            <w:tcW w:type="dxa" w:w="6772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البيان</w:t>
            </w:r>
          </w:p>
        </w:tc>
      </w:tr>
      <w:tr>
        <w:trPr>
          <w:tblHeader w:val="false"/>
        </w:trPr>
        <w:tc>
          <w:tcPr>
            <w:tcW w:type="dxa" w:w="258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رقم التقرير</w:t>
            </w:r>
          </w:p>
        </w:tc>
        <w:tc>
          <w:tcPr>
            <w:tcW w:type="dxa" w:w="67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AUD-1448-001</w:t>
            </w:r>
          </w:p>
        </w:tc>
      </w:tr>
      <w:tr>
        <w:trPr>
          <w:tblHeader w:val="false"/>
        </w:trPr>
        <w:tc>
          <w:tcPr>
            <w:tcW w:type="dxa" w:w="258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نوع المراجعة</w:t>
            </w:r>
          </w:p>
        </w:tc>
        <w:tc>
          <w:tcPr>
            <w:tcW w:type="dxa" w:w="677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مراجعة دورية داخلية — الدورة الأولى</w:t>
            </w:r>
          </w:p>
        </w:tc>
      </w:tr>
      <w:tr>
        <w:trPr>
          <w:tblHeader w:val="false"/>
        </w:trPr>
        <w:tc>
          <w:tcPr>
            <w:tcW w:type="dxa" w:w="258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الفترة المشمولة</w:t>
            </w:r>
          </w:p>
        </w:tc>
        <w:tc>
          <w:tcPr>
            <w:tcW w:type="dxa" w:w="67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 ربيع الأول – ٣٠ ربيع الآخر ١٤٤٨هـ</w:t>
            </w:r>
          </w:p>
        </w:tc>
      </w:tr>
      <w:tr>
        <w:trPr>
          <w:tblHeader w:val="false"/>
        </w:trPr>
        <w:tc>
          <w:tcPr>
            <w:tcW w:type="dxa" w:w="258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الجهة المنفّذة</w:t>
            </w:r>
          </w:p>
        </w:tc>
        <w:tc>
          <w:tcPr>
            <w:tcW w:type="dxa" w:w="677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وحدة الحوكمة والمخاطر والالتزام</w:t>
            </w:r>
          </w:p>
        </w:tc>
      </w:tr>
      <w:tr>
        <w:trPr>
          <w:tblHeader w:val="false"/>
        </w:trPr>
        <w:tc>
          <w:tcPr>
            <w:tcW w:type="dxa" w:w="258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المرجعية</w:t>
            </w:r>
          </w:p>
        </w:tc>
        <w:tc>
          <w:tcPr>
            <w:tcW w:type="dxa" w:w="67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إجراء المراجعة والتدقيق الدوري CS-PRO-007 · خطة المراجعة السنوية CS-PLN-003</w:t>
            </w:r>
          </w:p>
        </w:tc>
      </w:tr>
      <w:tr>
        <w:trPr>
          <w:tblHeader w:val="false"/>
        </w:trPr>
        <w:tc>
          <w:tcPr>
            <w:tcW w:type="dxa" w:w="258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تاريخ إصدار التقرير</w:t>
            </w:r>
          </w:p>
        </w:tc>
        <w:tc>
          <w:tcPr>
            <w:tcW w:type="dxa" w:w="677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٥ جمادى الأولى ١٤٤٨هـ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نطاق المراجعة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الضوابط الخمسة عشر المصنّفة حرجة والمنفَّذة في المرحلة الأولى من خطة المعالجة، وهي: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المكوّن الفرعي</w:t>
            </w:r>
          </w:p>
        </w:tc>
        <w:tc>
          <w:tcPr>
            <w:tcW w:type="dxa" w:w="468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الضوابط المراجَعة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١-٥ إدارة المخاطر</w:t>
            </w:r>
          </w:p>
        </w:tc>
        <w:tc>
          <w:tcPr>
            <w:tcW w:type="dxa" w:w="468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١-٥-١</w:t>
            </w: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br/>
              <w:t xml:space="preserve">١-٥-٢</w:t>
            </w: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br/>
              <w:t xml:space="preserve">١-٥-٣</w:t>
            </w:r>
          </w:p>
        </w:tc>
      </w:tr>
      <w:tr>
        <w:trPr>
          <w:tblHeader w:val="false"/>
        </w:trPr>
        <w:tc>
          <w:tcPr>
            <w:tcW w:type="dxa" w:w="468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١-٩ الموارد البشرية</w:t>
            </w:r>
          </w:p>
        </w:tc>
        <w:tc>
          <w:tcPr>
            <w:tcW w:type="dxa" w:w="468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١-٩-٥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٢-٢ الهويات والصلاحيات</w:t>
            </w:r>
          </w:p>
        </w:tc>
        <w:tc>
          <w:tcPr>
            <w:tcW w:type="dxa" w:w="468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٢-٢-٢</w:t>
            </w: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br/>
              <w:t xml:space="preserve">٢-٢-٣</w:t>
            </w:r>
          </w:p>
        </w:tc>
      </w:tr>
      <w:tr>
        <w:trPr>
          <w:tblHeader w:val="false"/>
        </w:trPr>
        <w:tc>
          <w:tcPr>
            <w:tcW w:type="dxa" w:w="468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٢-٥ أمن الشبكات</w:t>
            </w:r>
          </w:p>
        </w:tc>
        <w:tc>
          <w:tcPr>
            <w:tcW w:type="dxa" w:w="468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٢-٥-٣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٢-٨ التشفير</w:t>
            </w:r>
          </w:p>
        </w:tc>
        <w:tc>
          <w:tcPr>
            <w:tcW w:type="dxa" w:w="468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٢-٨-٣</w:t>
            </w:r>
          </w:p>
        </w:tc>
      </w:tr>
      <w:tr>
        <w:trPr>
          <w:tblHeader w:val="false"/>
        </w:trPr>
        <w:tc>
          <w:tcPr>
            <w:tcW w:type="dxa" w:w="468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٢-٩ النسخ الاحتياطية</w:t>
            </w:r>
          </w:p>
        </w:tc>
        <w:tc>
          <w:tcPr>
            <w:tcW w:type="dxa" w:w="468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٢-٩-٣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٢-١٢ السجلات والمراقبة</w:t>
            </w:r>
          </w:p>
        </w:tc>
        <w:tc>
          <w:tcPr>
            <w:tcW w:type="dxa" w:w="468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٢-١٢-٣</w:t>
            </w:r>
          </w:p>
        </w:tc>
      </w:tr>
      <w:tr>
        <w:trPr>
          <w:tblHeader w:val="false"/>
        </w:trPr>
        <w:tc>
          <w:tcPr>
            <w:tcW w:type="dxa" w:w="468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٢-١٣ إدارة الحوادث</w:t>
            </w:r>
          </w:p>
        </w:tc>
        <w:tc>
          <w:tcPr>
            <w:tcW w:type="dxa" w:w="468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٢-١٣-١</w:t>
            </w: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br/>
              <w:t xml:space="preserve">٢-١٣-٣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٣-١ الصمود</w:t>
            </w:r>
          </w:p>
        </w:tc>
        <w:tc>
          <w:tcPr>
            <w:tcW w:type="dxa" w:w="468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٣-١-٢</w:t>
            </w: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br/>
              <w:t xml:space="preserve">٣-١-٣</w:t>
            </w:r>
          </w:p>
        </w:tc>
      </w:tr>
      <w:tr>
        <w:trPr>
          <w:tblHeader w:val="false"/>
        </w:trPr>
        <w:tc>
          <w:tcPr>
            <w:tcW w:type="dxa" w:w="468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٤-١ الأطراف الخارجية</w:t>
            </w:r>
          </w:p>
        </w:tc>
        <w:tc>
          <w:tcPr>
            <w:tcW w:type="dxa" w:w="468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٤-١-٣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المنهجية والأدلة المفحوصة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2588"/>
        <w:gridCol w:w="6772"/>
      </w:tblGrid>
      <w:tr>
        <w:trPr>
          <w:tblHeader/>
        </w:trPr>
        <w:tc>
          <w:tcPr>
            <w:tcW w:type="dxa" w:w="2588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الأسلوب</w:t>
            </w:r>
          </w:p>
        </w:tc>
        <w:tc>
          <w:tcPr>
            <w:tcW w:type="dxa" w:w="6772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التفصيل</w:t>
            </w:r>
          </w:p>
        </w:tc>
      </w:tr>
      <w:tr>
        <w:trPr>
          <w:tblHeader w:val="false"/>
        </w:trPr>
        <w:tc>
          <w:tcPr>
            <w:tcW w:type="dxa" w:w="258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فحص الوثائق</w:t>
            </w:r>
          </w:p>
        </w:tc>
        <w:tc>
          <w:tcPr>
            <w:tcW w:type="dxa" w:w="67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٢١ وثيقة تنفيذية مع أدلة الاعتماد والتعميم</w:t>
            </w:r>
          </w:p>
        </w:tc>
      </w:tr>
      <w:tr>
        <w:trPr>
          <w:tblHeader w:val="false"/>
        </w:trPr>
        <w:tc>
          <w:tcPr>
            <w:tcW w:type="dxa" w:w="258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فحص الإعدادات التقنية</w:t>
            </w:r>
          </w:p>
        </w:tc>
        <w:tc>
          <w:tcPr>
            <w:tcW w:type="dxa" w:w="677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قواعد جدار الحماية · إعدادات الاحتفاظ بالسجلات · إعدادات خزنة الأسرار · إعدادات النسخ</w:t>
            </w:r>
          </w:p>
        </w:tc>
      </w:tr>
      <w:tr>
        <w:trPr>
          <w:tblHeader w:val="false"/>
        </w:trPr>
        <w:tc>
          <w:tcPr>
            <w:tcW w:type="dxa" w:w="258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فحص العينات</w:t>
            </w:r>
          </w:p>
        </w:tc>
        <w:tc>
          <w:tcPr>
            <w:tcW w:type="dxa" w:w="67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٤٠ حساباً من أصل ١٣١٠ · جميع الحسابات ذات الصلاحيات الهامة · جميع الأطراف المصنّفة حرجة</w:t>
            </w:r>
          </w:p>
        </w:tc>
      </w:tr>
      <w:tr>
        <w:trPr>
          <w:tblHeader w:val="false"/>
        </w:trPr>
        <w:tc>
          <w:tcPr>
            <w:tcW w:type="dxa" w:w="258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مقابلات</w:t>
            </w:r>
          </w:p>
        </w:tc>
        <w:tc>
          <w:tcPr>
            <w:tcW w:type="dxa" w:w="677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خمس مقابلات مع ملّاك الإجراءات</w:t>
            </w:r>
          </w:p>
        </w:tc>
      </w:tr>
      <w:tr>
        <w:trPr>
          <w:tblHeader w:val="false"/>
        </w:trPr>
        <w:tc>
          <w:tcPr>
            <w:tcW w:type="dxa" w:w="258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إعادة التنفيذ</w:t>
            </w:r>
          </w:p>
        </w:tc>
        <w:tc>
          <w:tcPr>
            <w:tcW w:type="dxa" w:w="67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إعادة تنفيذ ثلاثة من اختبارات التحقق من عزل الشبكة للتأكد من النتائج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نتيجة المراجعة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5304"/>
        <w:gridCol w:w="4056"/>
      </w:tblGrid>
      <w:tr>
        <w:trPr>
          <w:tblHeader/>
        </w:trPr>
        <w:tc>
          <w:tcPr>
            <w:tcW w:type="dxa" w:w="5304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الحالة</w:t>
            </w:r>
          </w:p>
        </w:tc>
        <w:tc>
          <w:tcPr>
            <w:tcW w:type="dxa" w:w="4056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العدد</w:t>
            </w:r>
          </w:p>
        </w:tc>
      </w:tr>
      <w:tr>
        <w:trPr>
          <w:tblHeader w:val="false"/>
        </w:trPr>
        <w:tc>
          <w:tcPr>
            <w:tcW w:type="dxa" w:w="530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مطبَّق بالكامل ومدعوم بدليل</w:t>
            </w:r>
          </w:p>
        </w:tc>
        <w:tc>
          <w:tcPr>
            <w:tcW w:type="dxa" w:w="405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١١</w:t>
            </w:r>
          </w:p>
        </w:tc>
      </w:tr>
      <w:tr>
        <w:trPr>
          <w:tblHeader w:val="false"/>
        </w:trPr>
        <w:tc>
          <w:tcPr>
            <w:tcW w:type="dxa" w:w="530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مطبَّق جزئياً</w:t>
            </w:r>
          </w:p>
        </w:tc>
        <w:tc>
          <w:tcPr>
            <w:tcW w:type="dxa" w:w="405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</w:t>
            </w:r>
          </w:p>
        </w:tc>
      </w:tr>
      <w:tr>
        <w:trPr>
          <w:tblHeader w:val="false"/>
        </w:trPr>
        <w:tc>
          <w:tcPr>
            <w:tcW w:type="dxa" w:w="530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غير مطبَّق</w:t>
            </w:r>
          </w:p>
        </w:tc>
        <w:tc>
          <w:tcPr>
            <w:tcW w:type="dxa" w:w="405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صفر</w:t>
            </w:r>
          </w:p>
        </w:tc>
      </w:tr>
      <w:tr>
        <w:trPr>
          <w:tblHeader w:val="false"/>
        </w:trPr>
        <w:tc>
          <w:tcPr>
            <w:tcW w:type="dxa" w:w="530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15325C"/>
                <w:sz w:val="19"/>
                <w:szCs w:val="19"/>
                <w:rtl/>
              </w:rPr>
              <w:t xml:space="preserve">نسبة الالتزام في نطاق المراجعة</w:t>
            </w:r>
          </w:p>
        </w:tc>
        <w:tc>
          <w:tcPr>
            <w:tcW w:type="dxa" w:w="405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15325C"/>
                <w:sz w:val="19"/>
                <w:szCs w:val="19"/>
                <w:rtl/>
              </w:rPr>
              <w:t xml:space="preserve">٨٧%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الملاحظات المكتشفة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1666"/>
        <w:gridCol w:w="4359"/>
        <w:gridCol w:w="1666"/>
        <w:gridCol w:w="1669"/>
      </w:tblGrid>
      <w:tr>
        <w:trPr>
          <w:tblHeader/>
        </w:trPr>
        <w:tc>
          <w:tcPr>
            <w:tcW w:type="dxa" w:w="1666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#</w:t>
            </w:r>
          </w:p>
        </w:tc>
        <w:tc>
          <w:tcPr>
            <w:tcW w:type="dxa" w:w="4359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الملاحظة</w:t>
            </w:r>
          </w:p>
        </w:tc>
        <w:tc>
          <w:tcPr>
            <w:tcW w:type="dxa" w:w="1666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الضابط</w:t>
            </w:r>
          </w:p>
        </w:tc>
        <w:tc>
          <w:tcPr>
            <w:tcW w:type="dxa" w:w="1669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التصنيف</w:t>
            </w:r>
          </w:p>
        </w:tc>
      </w:tr>
      <w:tr>
        <w:trPr>
          <w:tblHeader w:val="false"/>
        </w:trPr>
        <w:tc>
          <w:tcPr>
            <w:tcW w:type="dxa" w:w="166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</w:t>
            </w:r>
          </w:p>
        </w:tc>
        <w:tc>
          <w:tcPr>
            <w:tcW w:type="dxa" w:w="435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مركز عمليات مقدّم خدمات المراقبة الأمنية لا يزال خارج المملكة، والمهلة الممنوحة لم تنقضِ بعد</w:t>
            </w:r>
          </w:p>
        </w:tc>
        <w:tc>
          <w:tcPr>
            <w:tcW w:type="dxa" w:w="166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٤-١-٣</w:t>
            </w:r>
          </w:p>
        </w:tc>
        <w:tc>
          <w:tcPr>
            <w:tcW w:type="dxa" w:w="166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جوهرية</w:t>
            </w:r>
          </w:p>
        </w:tc>
      </w:tr>
      <w:tr>
        <w:trPr>
          <w:tblHeader w:val="false"/>
        </w:trPr>
        <w:tc>
          <w:tcPr>
            <w:tcW w:type="dxa" w:w="166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</w:t>
            </w:r>
          </w:p>
        </w:tc>
        <w:tc>
          <w:tcPr>
            <w:tcW w:type="dxa" w:w="4359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زمن التعافي المستهدف للفئة الأولى غير مثبت بالاختبار — النتيجة الفعلية ٦ ساعات و٢٢ دقيقة مقابل هدف ٤ ساعات</w:t>
            </w:r>
          </w:p>
        </w:tc>
        <w:tc>
          <w:tcPr>
            <w:tcW w:type="dxa" w:w="166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٣-١-٢</w:t>
            </w: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br/>
              <w:t xml:space="preserve">٣-١-٣</w:t>
            </w:r>
          </w:p>
        </w:tc>
        <w:tc>
          <w:tcPr>
            <w:tcW w:type="dxa" w:w="1669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جوهرية</w:t>
            </w:r>
          </w:p>
        </w:tc>
      </w:tr>
      <w:tr>
        <w:trPr>
          <w:tblHeader w:val="false"/>
        </w:trPr>
        <w:tc>
          <w:tcPr>
            <w:tcW w:type="dxa" w:w="166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</w:t>
            </w:r>
          </w:p>
        </w:tc>
        <w:tc>
          <w:tcPr>
            <w:tcW w:type="dxa" w:w="435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فحص الأسرار مفعَّل على خطوط النشر وغير مكتمل على أجهزة المطوّرين — ١٤٠ جهازاً من أصل ٢١٤</w:t>
            </w:r>
          </w:p>
        </w:tc>
        <w:tc>
          <w:tcPr>
            <w:tcW w:type="dxa" w:w="166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٢-٨-٣</w:t>
            </w:r>
          </w:p>
        </w:tc>
        <w:tc>
          <w:tcPr>
            <w:tcW w:type="dxa" w:w="166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مهمة</w:t>
            </w:r>
          </w:p>
        </w:tc>
      </w:tr>
      <w:tr>
        <w:trPr>
          <w:tblHeader w:val="false"/>
        </w:trPr>
        <w:tc>
          <w:tcPr>
            <w:tcW w:type="dxa" w:w="166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</w:t>
            </w:r>
          </w:p>
        </w:tc>
        <w:tc>
          <w:tcPr>
            <w:tcW w:type="dxa" w:w="4359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إعداد الاحتفاظ بالسجلات اثني عشر شهراً مطبَّق، ولم يُختبر استرجاع عينة من الأرشيف</w:t>
            </w:r>
          </w:p>
        </w:tc>
        <w:tc>
          <w:tcPr>
            <w:tcW w:type="dxa" w:w="166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٢-١٢-٣</w:t>
            </w:r>
          </w:p>
        </w:tc>
        <w:tc>
          <w:tcPr>
            <w:tcW w:type="dxa" w:w="1669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مهمة</w:t>
            </w:r>
          </w:p>
        </w:tc>
      </w:tr>
      <w:tr>
        <w:trPr>
          <w:tblHeader w:val="false"/>
        </w:trPr>
        <w:tc>
          <w:tcPr>
            <w:tcW w:type="dxa" w:w="166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٥</w:t>
            </w:r>
          </w:p>
        </w:tc>
        <w:tc>
          <w:tcPr>
            <w:tcW w:type="dxa" w:w="435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حصر حسابات الخدمة غير البشرية لم يبدأ، وتسعة عشر منها لم تُدوَّر بياناتها</w:t>
            </w:r>
          </w:p>
        </w:tc>
        <w:tc>
          <w:tcPr>
            <w:tcW w:type="dxa" w:w="166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٢-٢-٣</w:t>
            </w:r>
          </w:p>
        </w:tc>
        <w:tc>
          <w:tcPr>
            <w:tcW w:type="dxa" w:w="166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مهمة</w:t>
            </w:r>
          </w:p>
        </w:tc>
      </w:tr>
      <w:tr>
        <w:trPr>
          <w:tblHeader w:val="false"/>
        </w:trPr>
        <w:tc>
          <w:tcPr>
            <w:tcW w:type="dxa" w:w="166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٦</w:t>
            </w:r>
          </w:p>
        </w:tc>
        <w:tc>
          <w:tcPr>
            <w:tcW w:type="dxa" w:w="4359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خطة معالجة أربع مخاطر لم تُحدَّث حالتها في السجل منذ إقفال الحزم</w:t>
            </w:r>
          </w:p>
        </w:tc>
        <w:tc>
          <w:tcPr>
            <w:tcW w:type="dxa" w:w="166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١-٥-٢</w:t>
            </w:r>
          </w:p>
        </w:tc>
        <w:tc>
          <w:tcPr>
            <w:tcW w:type="dxa" w:w="1669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مهمة</w:t>
            </w:r>
          </w:p>
        </w:tc>
      </w:tr>
      <w:tr>
        <w:trPr>
          <w:tblHeader w:val="false"/>
        </w:trPr>
        <w:tc>
          <w:tcPr>
            <w:tcW w:type="dxa" w:w="166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٧</w:t>
            </w:r>
          </w:p>
        </w:tc>
        <w:tc>
          <w:tcPr>
            <w:tcW w:type="dxa" w:w="435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إجراء إخلاء الطرف التقني معتمد، والأتمتة مع نظام الموارد البشرية قيد التنفيذ ولم تُفعَّل بعد</w:t>
            </w:r>
          </w:p>
        </w:tc>
        <w:tc>
          <w:tcPr>
            <w:tcW w:type="dxa" w:w="166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١-٩-٥</w:t>
            </w:r>
          </w:p>
        </w:tc>
        <w:tc>
          <w:tcPr>
            <w:tcW w:type="dxa" w:w="166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مهمة</w:t>
            </w:r>
          </w:p>
        </w:tc>
      </w:tr>
      <w:tr>
        <w:trPr>
          <w:tblHeader w:val="false"/>
        </w:trPr>
        <w:tc>
          <w:tcPr>
            <w:tcW w:type="dxa" w:w="166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٨</w:t>
            </w:r>
          </w:p>
        </w:tc>
        <w:tc>
          <w:tcPr>
            <w:tcW w:type="dxa" w:w="4359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ثلاث لقطات إعدادات في ملف الأدلة بلا تاريخ ولا مصدر موثق</w:t>
            </w:r>
          </w:p>
        </w:tc>
        <w:tc>
          <w:tcPr>
            <w:tcW w:type="dxa" w:w="166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متعدد</w:t>
            </w:r>
          </w:p>
        </w:tc>
        <w:tc>
          <w:tcPr>
            <w:tcW w:type="dxa" w:w="1669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تحسينية</w:t>
            </w:r>
          </w:p>
        </w:tc>
      </w:tr>
      <w:tr>
        <w:trPr>
          <w:tblHeader w:val="false"/>
        </w:trPr>
        <w:tc>
          <w:tcPr>
            <w:tcW w:type="dxa" w:w="166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٩</w:t>
            </w:r>
          </w:p>
        </w:tc>
        <w:tc>
          <w:tcPr>
            <w:tcW w:type="dxa" w:w="435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مراجعة قواعد جدار الحماية الربع سنوية غير مجدولة في تقويم الإدارة</w:t>
            </w:r>
          </w:p>
        </w:tc>
        <w:tc>
          <w:tcPr>
            <w:tcW w:type="dxa" w:w="166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٢-٥-٣</w:t>
            </w:r>
          </w:p>
        </w:tc>
        <w:tc>
          <w:tcPr>
            <w:tcW w:type="dxa" w:w="166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تحسينية</w:t>
            </w:r>
          </w:p>
        </w:tc>
      </w:tr>
      <w:tr>
        <w:trPr>
          <w:tblHeader w:val="false"/>
        </w:trPr>
        <w:tc>
          <w:tcPr>
            <w:tcW w:type="dxa" w:w="166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١٠</w:t>
            </w:r>
          </w:p>
        </w:tc>
        <w:tc>
          <w:tcPr>
            <w:tcW w:type="dxa" w:w="4359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إجراءان تصحيحيان من تقرير الحادثة INC-1448-0007 لم يُغلقا بعد وهما ضمن مهلتهما</w:t>
            </w:r>
          </w:p>
        </w:tc>
        <w:tc>
          <w:tcPr>
            <w:tcW w:type="dxa" w:w="166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٢-١٣-١</w:t>
            </w:r>
          </w:p>
        </w:tc>
        <w:tc>
          <w:tcPr>
            <w:tcW w:type="dxa" w:w="1669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تحسينية</w:t>
            </w:r>
          </w:p>
        </w:tc>
      </w:tr>
      <w:tr>
        <w:trPr>
          <w:tblHeader w:val="false"/>
        </w:trPr>
        <w:tc>
          <w:tcPr>
            <w:tcW w:type="dxa" w:w="166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١١</w:t>
            </w:r>
          </w:p>
        </w:tc>
        <w:tc>
          <w:tcPr>
            <w:tcW w:type="dxa" w:w="435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لم يُنفَّذ تمرين محاكاة للحوادث بعد اعتماد خطة الاستجابة</w:t>
            </w:r>
          </w:p>
        </w:tc>
        <w:tc>
          <w:tcPr>
            <w:tcW w:type="dxa" w:w="166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٢-١٣-١</w:t>
            </w:r>
          </w:p>
        </w:tc>
        <w:tc>
          <w:tcPr>
            <w:tcW w:type="dxa" w:w="166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تحسينية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التوصيات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2588"/>
        <w:gridCol w:w="6772"/>
      </w:tblGrid>
      <w:tr>
        <w:trPr>
          <w:tblHeader/>
        </w:trPr>
        <w:tc>
          <w:tcPr>
            <w:tcW w:type="dxa" w:w="2588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#</w:t>
            </w:r>
          </w:p>
        </w:tc>
        <w:tc>
          <w:tcPr>
            <w:tcW w:type="dxa" w:w="6772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التوصية</w:t>
            </w:r>
          </w:p>
        </w:tc>
      </w:tr>
      <w:tr>
        <w:trPr>
          <w:tblHeader w:val="false"/>
        </w:trPr>
        <w:tc>
          <w:tcPr>
            <w:tcW w:type="dxa" w:w="258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</w:t>
            </w:r>
          </w:p>
        </w:tc>
        <w:tc>
          <w:tcPr>
            <w:tcW w:type="dxa" w:w="67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عدم تمديد مهلة مقدّم خدمات المراقبة الأمنية عند انقضائها، والبدء فوراً في تجهيز بديل داخل المملكة</w:t>
            </w:r>
          </w:p>
        </w:tc>
      </w:tr>
      <w:tr>
        <w:trPr>
          <w:tblHeader w:val="false"/>
        </w:trPr>
        <w:tc>
          <w:tcPr>
            <w:tcW w:type="dxa" w:w="258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</w:t>
            </w:r>
          </w:p>
        </w:tc>
        <w:tc>
          <w:tcPr>
            <w:tcW w:type="dxa" w:w="677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عدم إعلان تحقق أهداف التعافي في أي تقرير للجهات العميلة قبل إثباتها باختبار ناجح</w:t>
            </w:r>
          </w:p>
        </w:tc>
      </w:tr>
      <w:tr>
        <w:trPr>
          <w:tblHeader w:val="false"/>
        </w:trPr>
        <w:tc>
          <w:tcPr>
            <w:tcW w:type="dxa" w:w="258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</w:t>
            </w:r>
          </w:p>
        </w:tc>
        <w:tc>
          <w:tcPr>
            <w:tcW w:type="dxa" w:w="67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ربط إغلاق أي حزمة عمل بتحديث حالة المخاطر المرتبطة بها في السجل آلياً</w:t>
            </w:r>
          </w:p>
        </w:tc>
      </w:tr>
      <w:tr>
        <w:trPr>
          <w:tblHeader w:val="false"/>
        </w:trPr>
        <w:tc>
          <w:tcPr>
            <w:tcW w:type="dxa" w:w="258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</w:t>
            </w:r>
          </w:p>
        </w:tc>
        <w:tc>
          <w:tcPr>
            <w:tcW w:type="dxa" w:w="677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إضافة بند إلزامي بتوثيق تاريخ ومصدر كل دليل ضمن معايير قبول الأدلة</w:t>
            </w:r>
          </w:p>
        </w:tc>
      </w:tr>
      <w:tr>
        <w:trPr>
          <w:tblHeader w:val="false"/>
        </w:trPr>
        <w:tc>
          <w:tcPr>
            <w:tcW w:type="dxa" w:w="258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٥</w:t>
            </w:r>
          </w:p>
        </w:tc>
        <w:tc>
          <w:tcPr>
            <w:tcW w:type="dxa" w:w="67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جدولة المراجعات الدورية في تقويم الإدارات لا الاكتفاء بذكرها في الوثائق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خطة معالجة الملاحظات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1530"/>
        <w:gridCol w:w="3237"/>
        <w:gridCol w:w="1530"/>
        <w:gridCol w:w="1530"/>
        <w:gridCol w:w="1533"/>
      </w:tblGrid>
      <w:tr>
        <w:trPr>
          <w:tblHeader/>
        </w:trPr>
        <w:tc>
          <w:tcPr>
            <w:tcW w:type="dxa" w:w="153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#</w:t>
            </w:r>
          </w:p>
        </w:tc>
        <w:tc>
          <w:tcPr>
            <w:tcW w:type="dxa" w:w="3237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الإجراء التصحيحي</w:t>
            </w:r>
          </w:p>
        </w:tc>
        <w:tc>
          <w:tcPr>
            <w:tcW w:type="dxa" w:w="153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المالك</w:t>
            </w:r>
          </w:p>
        </w:tc>
        <w:tc>
          <w:tcPr>
            <w:tcW w:type="dxa" w:w="153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المهلة</w:t>
            </w:r>
          </w:p>
        </w:tc>
        <w:tc>
          <w:tcPr>
            <w:tcW w:type="dxa" w:w="1533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الحالة</w:t>
            </w:r>
          </w:p>
        </w:tc>
      </w:tr>
      <w:tr>
        <w:trPr>
          <w:tblHeader w:val="false"/>
        </w:trPr>
        <w:tc>
          <w:tcPr>
            <w:tcW w:type="dxa" w:w="153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</w:t>
            </w:r>
          </w:p>
        </w:tc>
        <w:tc>
          <w:tcPr>
            <w:tcW w:type="dxa" w:w="323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متابعة انقضاء مهلة المزود وتنفيذ قرار الإنهاء أو النقل</w:t>
            </w:r>
          </w:p>
        </w:tc>
        <w:tc>
          <w:tcPr>
            <w:tcW w:type="dxa" w:w="153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الشؤون القانونية</w:t>
            </w:r>
          </w:p>
        </w:tc>
        <w:tc>
          <w:tcPr>
            <w:tcW w:type="dxa" w:w="153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٤٥ يوماً</w:t>
            </w:r>
          </w:p>
        </w:tc>
        <w:tc>
          <w:tcPr>
            <w:tcW w:type="dxa" w:w="153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قيد التنفيذ</w:t>
            </w:r>
          </w:p>
        </w:tc>
      </w:tr>
      <w:tr>
        <w:trPr>
          <w:tblHeader w:val="false"/>
        </w:trPr>
        <w:tc>
          <w:tcPr>
            <w:tcW w:type="dxa" w:w="153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</w:t>
            </w:r>
          </w:p>
        </w:tc>
        <w:tc>
          <w:tcPr>
            <w:tcW w:type="dxa" w:w="323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تنفيذ الإجراءات التصحيحية الأربعة وإعادة اختبار التعافي</w:t>
            </w:r>
          </w:p>
        </w:tc>
        <w:tc>
          <w:tcPr>
            <w:tcW w:type="dxa" w:w="153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مدير العمليات السحابية</w:t>
            </w:r>
          </w:p>
        </w:tc>
        <w:tc>
          <w:tcPr>
            <w:tcW w:type="dxa" w:w="153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٩٠ يوماً</w:t>
            </w:r>
          </w:p>
        </w:tc>
        <w:tc>
          <w:tcPr>
            <w:tcW w:type="dxa" w:w="153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قيد التنفيذ</w:t>
            </w:r>
          </w:p>
        </w:tc>
      </w:tr>
      <w:tr>
        <w:trPr>
          <w:tblHeader w:val="false"/>
        </w:trPr>
        <w:tc>
          <w:tcPr>
            <w:tcW w:type="dxa" w:w="153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</w:t>
            </w:r>
          </w:p>
        </w:tc>
        <w:tc>
          <w:tcPr>
            <w:tcW w:type="dxa" w:w="323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استكمال تفعيل فحص الأسرار على أجهزة المطوّرين</w:t>
            </w:r>
          </w:p>
        </w:tc>
        <w:tc>
          <w:tcPr>
            <w:tcW w:type="dxa" w:w="153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مدير الهندسة والتطوير</w:t>
            </w:r>
          </w:p>
        </w:tc>
        <w:tc>
          <w:tcPr>
            <w:tcW w:type="dxa" w:w="153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٣٠ يوماً</w:t>
            </w:r>
          </w:p>
        </w:tc>
        <w:tc>
          <w:tcPr>
            <w:tcW w:type="dxa" w:w="153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قيد التنفيذ</w:t>
            </w:r>
          </w:p>
        </w:tc>
      </w:tr>
      <w:tr>
        <w:trPr>
          <w:tblHeader w:val="false"/>
        </w:trPr>
        <w:tc>
          <w:tcPr>
            <w:tcW w:type="dxa" w:w="153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</w:t>
            </w:r>
          </w:p>
        </w:tc>
        <w:tc>
          <w:tcPr>
            <w:tcW w:type="dxa" w:w="323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اختبار استرجاع عينة من أرشيف السجلات</w:t>
            </w:r>
          </w:p>
        </w:tc>
        <w:tc>
          <w:tcPr>
            <w:tcW w:type="dxa" w:w="153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مركز العمليات الأمنية</w:t>
            </w:r>
          </w:p>
        </w:tc>
        <w:tc>
          <w:tcPr>
            <w:tcW w:type="dxa" w:w="153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٣٠ يوماً</w:t>
            </w:r>
          </w:p>
        </w:tc>
        <w:tc>
          <w:tcPr>
            <w:tcW w:type="dxa" w:w="153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لم يبدأ</w:t>
            </w:r>
          </w:p>
        </w:tc>
      </w:tr>
      <w:tr>
        <w:trPr>
          <w:tblHeader w:val="false"/>
        </w:trPr>
        <w:tc>
          <w:tcPr>
            <w:tcW w:type="dxa" w:w="153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٥</w:t>
            </w:r>
          </w:p>
        </w:tc>
        <w:tc>
          <w:tcPr>
            <w:tcW w:type="dxa" w:w="323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حصر حسابات الخدمة وتعيين ملّاك وتدوير بياناتها</w:t>
            </w:r>
          </w:p>
        </w:tc>
        <w:tc>
          <w:tcPr>
            <w:tcW w:type="dxa" w:w="153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مدير الهندسة والتطوير</w:t>
            </w:r>
          </w:p>
        </w:tc>
        <w:tc>
          <w:tcPr>
            <w:tcW w:type="dxa" w:w="153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٦٠ يوماً</w:t>
            </w:r>
          </w:p>
        </w:tc>
        <w:tc>
          <w:tcPr>
            <w:tcW w:type="dxa" w:w="153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لم يبدأ</w:t>
            </w:r>
          </w:p>
        </w:tc>
      </w:tr>
      <w:tr>
        <w:trPr>
          <w:tblHeader w:val="false"/>
        </w:trPr>
        <w:tc>
          <w:tcPr>
            <w:tcW w:type="dxa" w:w="153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٦</w:t>
            </w:r>
          </w:p>
        </w:tc>
        <w:tc>
          <w:tcPr>
            <w:tcW w:type="dxa" w:w="323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تحديث حالة المخاطر الأربع في السجل</w:t>
            </w:r>
          </w:p>
        </w:tc>
        <w:tc>
          <w:tcPr>
            <w:tcW w:type="dxa" w:w="153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وحدة الحوكمة</w:t>
            </w:r>
          </w:p>
        </w:tc>
        <w:tc>
          <w:tcPr>
            <w:tcW w:type="dxa" w:w="153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١٥ يوماً</w:t>
            </w:r>
          </w:p>
        </w:tc>
        <w:tc>
          <w:tcPr>
            <w:tcW w:type="dxa" w:w="153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مكتمل</w:t>
            </w:r>
          </w:p>
        </w:tc>
      </w:tr>
      <w:tr>
        <w:trPr>
          <w:tblHeader w:val="false"/>
        </w:trPr>
        <w:tc>
          <w:tcPr>
            <w:tcW w:type="dxa" w:w="153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٧</w:t>
            </w:r>
          </w:p>
        </w:tc>
        <w:tc>
          <w:tcPr>
            <w:tcW w:type="dxa" w:w="323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تفعيل أتمتة إخلاء الطرف التقني</w:t>
            </w:r>
          </w:p>
        </w:tc>
        <w:tc>
          <w:tcPr>
            <w:tcW w:type="dxa" w:w="153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مدير الموارد البشرية</w:t>
            </w:r>
          </w:p>
        </w:tc>
        <w:tc>
          <w:tcPr>
            <w:tcW w:type="dxa" w:w="153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٤٥ يوماً</w:t>
            </w:r>
          </w:p>
        </w:tc>
        <w:tc>
          <w:tcPr>
            <w:tcW w:type="dxa" w:w="153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قيد التنفيذ</w:t>
            </w:r>
          </w:p>
        </w:tc>
      </w:tr>
      <w:tr>
        <w:trPr>
          <w:tblHeader w:val="false"/>
        </w:trPr>
        <w:tc>
          <w:tcPr>
            <w:tcW w:type="dxa" w:w="153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٨</w:t>
            </w:r>
          </w:p>
        </w:tc>
        <w:tc>
          <w:tcPr>
            <w:tcW w:type="dxa" w:w="323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إعادة توثيق لقطات الإعدادات الثلاث بمصدر وتاريخ</w:t>
            </w:r>
          </w:p>
        </w:tc>
        <w:tc>
          <w:tcPr>
            <w:tcW w:type="dxa" w:w="153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وحدة الحوكمة</w:t>
            </w:r>
          </w:p>
        </w:tc>
        <w:tc>
          <w:tcPr>
            <w:tcW w:type="dxa" w:w="153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١٥ يوماً</w:t>
            </w:r>
          </w:p>
        </w:tc>
        <w:tc>
          <w:tcPr>
            <w:tcW w:type="dxa" w:w="153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مكتمل</w:t>
            </w:r>
          </w:p>
        </w:tc>
      </w:tr>
      <w:tr>
        <w:trPr>
          <w:tblHeader w:val="false"/>
        </w:trPr>
        <w:tc>
          <w:tcPr>
            <w:tcW w:type="dxa" w:w="153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٩</w:t>
            </w:r>
          </w:p>
        </w:tc>
        <w:tc>
          <w:tcPr>
            <w:tcW w:type="dxa" w:w="323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جدولة مراجعة قواعد جدار الحماية في تقويم الإدارة</w:t>
            </w:r>
          </w:p>
        </w:tc>
        <w:tc>
          <w:tcPr>
            <w:tcW w:type="dxa" w:w="153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مدير العمليات السحابية</w:t>
            </w:r>
          </w:p>
        </w:tc>
        <w:tc>
          <w:tcPr>
            <w:tcW w:type="dxa" w:w="153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١٥ يوماً</w:t>
            </w:r>
          </w:p>
        </w:tc>
        <w:tc>
          <w:tcPr>
            <w:tcW w:type="dxa" w:w="153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مكتمل</w:t>
            </w:r>
          </w:p>
        </w:tc>
      </w:tr>
      <w:tr>
        <w:trPr>
          <w:tblHeader w:val="false"/>
        </w:trPr>
        <w:tc>
          <w:tcPr>
            <w:tcW w:type="dxa" w:w="153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١٠</w:t>
            </w:r>
          </w:p>
        </w:tc>
        <w:tc>
          <w:tcPr>
            <w:tcW w:type="dxa" w:w="323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إغلاق الإجراءين التصحيحيين من تقرير الحادثة</w:t>
            </w:r>
          </w:p>
        </w:tc>
        <w:tc>
          <w:tcPr>
            <w:tcW w:type="dxa" w:w="153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مدير الهندسة والتطوير</w:t>
            </w:r>
          </w:p>
        </w:tc>
        <w:tc>
          <w:tcPr>
            <w:tcW w:type="dxa" w:w="153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ضمن مهلتهما</w:t>
            </w:r>
          </w:p>
        </w:tc>
        <w:tc>
          <w:tcPr>
            <w:tcW w:type="dxa" w:w="153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قيد التنفيذ</w:t>
            </w:r>
          </w:p>
        </w:tc>
      </w:tr>
      <w:tr>
        <w:trPr>
          <w:tblHeader w:val="false"/>
        </w:trPr>
        <w:tc>
          <w:tcPr>
            <w:tcW w:type="dxa" w:w="153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١١</w:t>
            </w:r>
          </w:p>
        </w:tc>
        <w:tc>
          <w:tcPr>
            <w:tcW w:type="dxa" w:w="323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تنفيذ تمرين محاكاة لحادثة سيبرانية</w:t>
            </w:r>
          </w:p>
        </w:tc>
        <w:tc>
          <w:tcPr>
            <w:tcW w:type="dxa" w:w="153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رئيس الأمن السيبراني</w:t>
            </w:r>
          </w:p>
        </w:tc>
        <w:tc>
          <w:tcPr>
            <w:tcW w:type="dxa" w:w="153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٦٠ يوماً</w:t>
            </w:r>
          </w:p>
        </w:tc>
        <w:tc>
          <w:tcPr>
            <w:tcW w:type="dxa" w:w="153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لم يبدأ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حالة ملاحظات الدورة السابقة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لا توجد — هذه هي الدورة الأولى.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إثبات عرض النتائج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2051"/>
        <w:gridCol w:w="1666"/>
        <w:gridCol w:w="2307"/>
        <w:gridCol w:w="3336"/>
      </w:tblGrid>
      <w:tr>
        <w:trPr>
          <w:tblHeader/>
        </w:trPr>
        <w:tc>
          <w:tcPr>
            <w:tcW w:type="dxa" w:w="2051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الجهة</w:t>
            </w:r>
          </w:p>
        </w:tc>
        <w:tc>
          <w:tcPr>
            <w:tcW w:type="dxa" w:w="1666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تاريخ العرض</w:t>
            </w:r>
          </w:p>
        </w:tc>
        <w:tc>
          <w:tcPr>
            <w:tcW w:type="dxa" w:w="2307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المرجع</w:t>
            </w:r>
          </w:p>
        </w:tc>
        <w:tc>
          <w:tcPr>
            <w:tcW w:type="dxa" w:w="3336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القرار</w:t>
            </w:r>
          </w:p>
        </w:tc>
      </w:tr>
      <w:tr>
        <w:trPr>
          <w:tblHeader w:val="false"/>
        </w:trPr>
        <w:tc>
          <w:tcPr>
            <w:tcW w:type="dxa" w:w="205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رئيس الأمن السيبراني</w:t>
            </w:r>
          </w:p>
        </w:tc>
        <w:tc>
          <w:tcPr>
            <w:tcW w:type="dxa" w:w="166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٥ جمادى الأولى ١٤٤٨هـ</w:t>
            </w:r>
          </w:p>
        </w:tc>
        <w:tc>
          <w:tcPr>
            <w:tcW w:type="dxa" w:w="230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اعتماد التقرير</w:t>
            </w:r>
          </w:p>
        </w:tc>
        <w:tc>
          <w:tcPr>
            <w:tcW w:type="dxa" w:w="333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اعتُمد</w:t>
            </w:r>
          </w:p>
        </w:tc>
      </w:tr>
      <w:tr>
        <w:trPr>
          <w:tblHeader w:val="false"/>
        </w:trPr>
        <w:tc>
          <w:tcPr>
            <w:tcW w:type="dxa" w:w="2051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اللجنة الإشرافية للأمن السيبراني</w:t>
            </w:r>
          </w:p>
        </w:tc>
        <w:tc>
          <w:tcPr>
            <w:tcW w:type="dxa" w:w="166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١٢ جمادى الأولى ١٤٤٨هـ</w:t>
            </w:r>
          </w:p>
        </w:tc>
        <w:tc>
          <w:tcPr>
            <w:tcW w:type="dxa" w:w="230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محضر SC-1448-002</w:t>
            </w:r>
          </w:p>
        </w:tc>
        <w:tc>
          <w:tcPr>
            <w:tcW w:type="dxa" w:w="333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اعتُمدت خطة المعالجة · صُعِّدت الملاحظتان الجوهريتان</w:t>
            </w:r>
          </w:p>
        </w:tc>
      </w:tr>
      <w:tr>
        <w:trPr>
          <w:tblHeader w:val="false"/>
        </w:trPr>
        <w:tc>
          <w:tcPr>
            <w:tcW w:type="dxa" w:w="205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صاحب الصلاحية — الرئيس التنفيذي</w:t>
            </w:r>
          </w:p>
        </w:tc>
        <w:tc>
          <w:tcPr>
            <w:tcW w:type="dxa" w:w="166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١٢ جمادى الأولى ١٤٤٨هـ</w:t>
            </w:r>
          </w:p>
        </w:tc>
        <w:tc>
          <w:tcPr>
            <w:tcW w:type="dxa" w:w="230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محضر SC-1448-002 · بصفته رئيس اللجنة</w:t>
            </w:r>
          </w:p>
        </w:tc>
        <w:tc>
          <w:tcPr>
            <w:tcW w:type="dxa" w:w="333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أقرّ عدم إعلان تحقق أهداف التعافي قبل إثباتها</w:t>
            </w:r>
          </w:p>
        </w:tc>
      </w:tr>
      <w:tr>
        <w:trPr>
          <w:tblHeader w:val="false"/>
        </w:trPr>
        <w:tc>
          <w:tcPr>
            <w:tcW w:type="dxa" w:w="2051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لجنة المخاطر والالتزام</w:t>
            </w:r>
          </w:p>
        </w:tc>
        <w:tc>
          <w:tcPr>
            <w:tcW w:type="dxa" w:w="166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مجدول للربع القادم</w:t>
            </w:r>
          </w:p>
        </w:tc>
        <w:tc>
          <w:tcPr>
            <w:tcW w:type="dxa" w:w="230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—</w:t>
            </w:r>
          </w:p>
        </w:tc>
        <w:tc>
          <w:tcPr>
            <w:tcW w:type="dxa" w:w="333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—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خلاصة المراجعة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نُفِّذت الضوابط الخمسة عشر الحرجة فعلياً، وأُغلق أخطر مسارين للهجوم — الأسرار في الكود وعدم عزل بيئة الإنتاج — بأدلة قابلة للتحقق.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وتتركّز الملاحظتان الجوهريتان في بندين خارج السيطرة الكاملة لإدارة الأمن السيبراني: التزام طرف خارجي بمهلة تعاقدية، وقدرة تعافٍ تحتاج تحسينات تقنية قبل إثباتها. وكلاهما مجدول ومتابَع.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/>
          <w:bCs/>
          <w:color w:val="15325C"/>
          <w:sz w:val="21"/>
          <w:szCs w:val="21"/>
          <w:rtl/>
        </w:rPr>
        <w:t xml:space="preserve">الملاحظة الأهم منهجياً:</w:t>
      </w: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 ست ملاحظات من أصل إحدى عشرة تتعلق بأن الضابط نُفِّذ ولم يكتمل دليله أو لم تُجدوَل دورته. وهذا يؤكد أن الفجوة المتبقية في نَسَق ليست في القدرة بل في إثبات القدرة.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الاعتماد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1931"/>
        <w:gridCol w:w="3565"/>
        <w:gridCol w:w="1931"/>
        <w:gridCol w:w="1933"/>
      </w:tblGrid>
      <w:tr>
        <w:trPr>
          <w:tblHeader/>
        </w:trPr>
        <w:tc>
          <w:tcPr>
            <w:tcW w:type="dxa" w:w="1931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الدور</w:t>
            </w:r>
          </w:p>
        </w:tc>
        <w:tc>
          <w:tcPr>
            <w:tcW w:type="dxa" w:w="3565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الاسم</w:t>
            </w:r>
          </w:p>
        </w:tc>
        <w:tc>
          <w:tcPr>
            <w:tcW w:type="dxa" w:w="1931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التوقيع</w:t>
            </w:r>
          </w:p>
        </w:tc>
        <w:tc>
          <w:tcPr>
            <w:tcW w:type="dxa" w:w="1933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التاريخ</w:t>
            </w:r>
          </w:p>
        </w:tc>
      </w:tr>
      <w:tr>
        <w:trPr>
          <w:tblHeader w:val="false"/>
        </w:trPr>
        <w:tc>
          <w:tcPr>
            <w:tcW w:type="dxa" w:w="193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أعدّ التقرير</w:t>
            </w:r>
          </w:p>
        </w:tc>
        <w:tc>
          <w:tcPr>
            <w:tcW w:type="dxa" w:w="356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وحدة الحوكمة والمخاطر والالتزام</w:t>
            </w:r>
          </w:p>
        </w:tc>
        <w:tc>
          <w:tcPr>
            <w:tcW w:type="dxa" w:w="193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93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931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راجع التقرير</w:t>
            </w:r>
          </w:p>
        </w:tc>
        <w:tc>
          <w:tcPr>
            <w:tcW w:type="dxa" w:w="356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أ. ريم الشهري — رئيس الأمن السيبراني</w:t>
            </w:r>
          </w:p>
        </w:tc>
        <w:tc>
          <w:tcPr>
            <w:tcW w:type="dxa" w:w="1931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93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93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اطّلعت عليه</w:t>
            </w:r>
          </w:p>
        </w:tc>
        <w:tc>
          <w:tcPr>
            <w:tcW w:type="dxa" w:w="356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اللجنة الإشرافية للأمن السيبراني</w:t>
            </w:r>
          </w:p>
        </w:tc>
        <w:tc>
          <w:tcPr>
            <w:tcW w:type="dxa" w:w="193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93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931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اعتمده</w:t>
            </w:r>
          </w:p>
        </w:tc>
        <w:tc>
          <w:tcPr>
            <w:tcW w:type="dxa" w:w="356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م. بدر العتيبي — الرئيس التنفيذي · صاحب الصلاحية</w:t>
            </w:r>
          </w:p>
        </w:tc>
        <w:tc>
          <w:tcPr>
            <w:tcW w:type="dxa" w:w="1931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93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تنويه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شركة نَسَق وجميع البيانات والأسماء والأرقام الواردة في هذه الوثيقة افتراضية، وأُعدّت لأغراض التدريب على تطبيق الضوابط الأساسية للأمن السيبراني.</w:t>
      </w:r>
    </w:p>
    <w:sectPr>
      <w:headerReference w:type="default" r:id="rId9"/>
      <w:footerReference w:type="default" r:id="rId10"/>
      <w:pgSz w:w="11906" w:h="16838" w:orient="portrait"/>
      <w:pgMar w:top="10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start"/>
    </w:pPr>
    <w:r>
      <w:rPr>
        <w:rFonts w:ascii="Arial" w:cs="Arial" w:eastAsia="Arial" w:hAnsi="Arial"/>
        <w:b/>
        <w:bCs/>
        <w:color w:val="9E2A2B"/>
        <w:sz w:val="16"/>
        <w:szCs w:val="16"/>
        <w:rtl/>
      </w:rPr>
      <w:t xml:space="preserve">سري</w:t>
    </w:r>
    <w:r>
      <w:rPr>
        <w:rFonts w:ascii="Arial" w:cs="Arial" w:eastAsia="Arial" w:hAnsi="Arial"/>
        <w:b w:val="false"/>
        <w:bCs w:val="false"/>
        <w:color w:val="5A6672"/>
        <w:sz w:val="16"/>
        <w:szCs w:val="16"/>
        <w:rtl/>
      </w:rPr>
      <w:t xml:space="preserve">        صفحة </w:t>
    </w:r>
    <w:r>
      <w:rPr>
        <w:rFonts w:ascii="Arial" w:cs="Arial" w:eastAsia="Arial" w:hAnsi="Arial"/>
        <w:color w:val="5A66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color w:val="5A6672"/>
        <w:sz w:val="16"/>
        <w:szCs w:val="16"/>
        <w:rtl/>
      </w:rPr>
      <w:t xml:space="preserve"> من </w:t>
    </w:r>
    <w:r>
      <w:rPr>
        <w:rFonts w:ascii="Arial" w:cs="Arial" w:eastAsia="Arial" w:hAnsi="Arial"/>
        <w:color w:val="5A6672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5A6672"/>
        <w:sz w:val="16"/>
        <w:szCs w:val="16"/>
      </w:rPr>
      <w:t xml:space="preserve">	CS-REG-008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start"/>
    </w:pPr>
    <w:r>
      <w:rPr>
        <w:rFonts w:ascii="Arial" w:cs="Arial" w:eastAsia="Arial" w:hAnsi="Arial"/>
        <w:b/>
        <w:bCs/>
        <w:color w:val="9E2A2B"/>
        <w:sz w:val="16"/>
        <w:szCs w:val="16"/>
        <w:rtl/>
      </w:rPr>
      <w:t xml:space="preserve">سري</w:t>
    </w:r>
    <w:r>
      <w:rPr>
        <w:rFonts w:ascii="Arial" w:cs="Arial" w:eastAsia="Arial" w:hAnsi="Arial"/>
        <w:b w:val="false"/>
        <w:bCs w:val="false"/>
        <w:color w:val="5A6672"/>
        <w:sz w:val="16"/>
        <w:szCs w:val="16"/>
        <w:rtl/>
      </w:rPr>
      <w:t xml:space="preserve">        صفحة </w:t>
    </w:r>
    <w:r>
      <w:rPr>
        <w:rFonts w:ascii="Arial" w:cs="Arial" w:eastAsia="Arial" w:hAnsi="Arial"/>
        <w:color w:val="5A66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color w:val="5A6672"/>
        <w:sz w:val="16"/>
        <w:szCs w:val="16"/>
        <w:rtl/>
      </w:rPr>
      <w:t xml:space="preserve"> من </w:t>
    </w:r>
    <w:r>
      <w:rPr>
        <w:rFonts w:ascii="Arial" w:cs="Arial" w:eastAsia="Arial" w:hAnsi="Arial"/>
        <w:color w:val="5A6672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5A6672"/>
        <w:sz w:val="16"/>
        <w:szCs w:val="16"/>
      </w:rPr>
      <w:t xml:space="preserve">	CS-REG-008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E0E3" w:sz="2" w:space="6"/>
      </w:pBdr>
      <w:bidi/>
      <w:jc w:val="start"/>
    </w:pPr>
    <w:r>
      <w:rPr>
        <w:rFonts w:ascii="Arial" w:cs="Arial" w:eastAsia="Arial" w:hAnsi="Arial"/>
        <w:b/>
        <w:bCs/>
        <w:color w:val="15325C"/>
        <w:sz w:val="16"/>
        <w:szCs w:val="16"/>
        <w:rtl/>
      </w:rPr>
      <w:t xml:space="preserve">شركة نَسَق للحلول الرقمية — إدارة الأمن السيبراني</w:t>
    </w:r>
    <w:r>
      <w:rPr>
        <w:rFonts w:ascii="Arial" w:cs="Arial" w:eastAsia="Arial" w:hAnsi="Arial"/>
        <w:color w:val="5A6672"/>
        <w:sz w:val="16"/>
        <w:szCs w:val="16"/>
      </w:rPr>
      <w:t xml:space="preserve">	CS-REG-008 ·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2026-10-04T11:48:00.908Z</dcterms:created>
  <dcterms:modified xsi:type="dcterms:W3CDTF">2026-10-04T11:48:00.908Z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