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سياسة معتمدة</w:t>
            </w:r>
          </w:p>
          <w:p>
            <w:pPr>
              <w:bidi/>
              <w:spacing w:after="120" w:before="0" w:line="420"/>
              <w:jc w:val="start"/>
            </w:pPr>
            <w:r>
              <w:rPr>
                <w:rFonts w:ascii="Arial" w:cs="Arial" w:eastAsia="Arial" w:hAnsi="Arial"/>
                <w:b/>
                <w:bCs/>
                <w:color w:val="FFFFFF"/>
                <w:sz w:val="52"/>
                <w:szCs w:val="52"/>
                <w:rtl/>
              </w:rPr>
              <w:t xml:space="preserve">سياسة الأمن السيبراني للموارد البشرية</w:t>
            </w:r>
          </w:p>
          <w:p>
            <w:pPr>
              <w:bidi/>
              <w:spacing w:after="260" w:before="0" w:line="300"/>
              <w:jc w:val="start"/>
            </w:pPr>
            <w:r>
              <w:rPr>
                <w:rFonts w:ascii="Arial" w:cs="Arial" w:eastAsia="Arial" w:hAnsi="Arial"/>
                <w:b w:val="false"/>
                <w:bCs w:val="false"/>
                <w:color w:val="AFC4D4"/>
                <w:sz w:val="22"/>
                <w:szCs w:val="22"/>
                <w:rtl/>
              </w:rPr>
              <w:t xml:space="preserve">قبل العلاقة المهنية وأثناءها وعند انتهائها · تصنيف الوظائف</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CS-POL-004</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الموارد البشرية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1-9-1 · 1-9-6</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سياسة الأمن السيبراني للموارد البشرية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السياسة متطلبات الأمن السيبراني المتعلقة بالعاملين في شركة نَسَق للحلول الرقمية — موظفين ومتعاقدين — قبل بدء علاقتهم المهنية وأثناءها وعند انتهائها، ويُعدّ مخرَجاً من حزمة العمل WP-11.</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تسري هذه السياسة على جميع الموظفين والمتعاقدين والمتدربين ومنسوبي شركات التعاقد على الكوادر التقنية، وعلى جميع الوظائف دون استثناء، مع متطلبات مشددة على وظائف الأمن السيبراني والوظائف التقنية ذات الصلاحيات الهامة.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450"/>
        <w:gridCol w:w="3910"/>
      </w:tblGrid>
      <w:tr>
        <w:trPr>
          <w:tblHeader/>
        </w:trPr>
        <w:tc>
          <w:tcPr>
            <w:tcW w:type="dxa" w:w="545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91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4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١-٩</w:t>
            </w:r>
          </w:p>
        </w:tc>
        <w:tc>
          <w:tcPr>
            <w:tcW w:type="dxa" w:w="39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تستوفيها هذه السياسة</w:t>
            </w:r>
          </w:p>
        </w:tc>
      </w:tr>
      <w:tr>
        <w:trPr>
          <w:tblHeader w:val="false"/>
        </w:trPr>
        <w:tc>
          <w:tcPr>
            <w:tcW w:type="dxa" w:w="54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العامة للأمن السيبراني CS-POL-003</w:t>
            </w:r>
          </w:p>
        </w:tc>
        <w:tc>
          <w:tcPr>
            <w:tcW w:type="dxa" w:w="39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الوثيقة الحاكمة</w:t>
            </w:r>
          </w:p>
        </w:tc>
      </w:tr>
      <w:tr>
        <w:trPr>
          <w:tblHeader w:val="false"/>
        </w:trPr>
        <w:tc>
          <w:tcPr>
            <w:tcW w:type="dxa" w:w="54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هويات الدخول والصلاحيات CS-POL-002</w:t>
            </w:r>
          </w:p>
        </w:tc>
        <w:tc>
          <w:tcPr>
            <w:tcW w:type="dxa" w:w="39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منح الصلاحيات وإلغاؤها</w:t>
            </w:r>
          </w:p>
        </w:tc>
      </w:tr>
      <w:tr>
        <w:trPr>
          <w:tblHeader w:val="false"/>
        </w:trPr>
        <w:tc>
          <w:tcPr>
            <w:tcW w:type="dxa" w:w="54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إخلاء الطرف التقني CS-PRO-003</w:t>
            </w:r>
          </w:p>
        </w:tc>
        <w:tc>
          <w:tcPr>
            <w:tcW w:type="dxa" w:w="39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متطلبات انتهاء العلاقة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تصنيف الوظائف</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72"/>
        <w:gridCol w:w="4011"/>
        <w:gridCol w:w="1738"/>
        <w:gridCol w:w="1739"/>
      </w:tblGrid>
      <w:tr>
        <w:trPr>
          <w:tblHeader/>
        </w:trPr>
        <w:tc>
          <w:tcPr>
            <w:tcW w:type="dxa" w:w="18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الفئة</w:t>
            </w:r>
          </w:p>
        </w:tc>
        <w:tc>
          <w:tcPr>
            <w:tcW w:type="dxa" w:w="401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المعيار</w:t>
            </w:r>
          </w:p>
        </w:tc>
        <w:tc>
          <w:tcPr>
            <w:tcW w:type="dxa" w:w="173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العدد التقريبي</w:t>
            </w:r>
          </w:p>
        </w:tc>
        <w:tc>
          <w:tcPr>
            <w:tcW w:type="dxa" w:w="173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مستوى المتطلبات</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وظائف الأمن السيبراني</w:t>
            </w:r>
          </w:p>
        </w:tc>
        <w:tc>
          <w:tcPr>
            <w:tcW w:type="dxa" w:w="4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العاملون في إدارة الأمن السيبراني</w:t>
            </w:r>
          </w:p>
        </w:tc>
        <w:tc>
          <w:tcPr>
            <w:tcW w:type="dxa" w:w="173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w:t>
            </w:r>
          </w:p>
        </w:tc>
        <w:tc>
          <w:tcPr>
            <w:tcW w:type="dxa" w:w="17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الأعلى</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وظائف تقنية ذات صلاحيات هامة</w:t>
            </w:r>
          </w:p>
        </w:tc>
        <w:tc>
          <w:tcPr>
            <w:tcW w:type="dxa" w:w="4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إداري لبيئة الإنتاج أو الكود المصدري أو البيئة السحابية</w:t>
            </w:r>
          </w:p>
        </w:tc>
        <w:tc>
          <w:tcPr>
            <w:tcW w:type="dxa" w:w="173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٦٣</w:t>
            </w:r>
          </w:p>
        </w:tc>
        <w:tc>
          <w:tcPr>
            <w:tcW w:type="dxa" w:w="17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مشدد</w:t>
            </w:r>
          </w:p>
        </w:tc>
      </w:tr>
      <w:tr>
        <w:trPr>
          <w:tblHeader w:val="false"/>
        </w:trPr>
        <w:tc>
          <w:tcPr>
            <w:tcW w:type="dxa" w:w="18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وظائف ذات وصول لبيانات حساسة</w:t>
            </w:r>
          </w:p>
        </w:tc>
        <w:tc>
          <w:tcPr>
            <w:tcW w:type="dxa" w:w="4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تعامل مع بيانات مستفيدي الجهات العميلة</w:t>
            </w:r>
          </w:p>
        </w:tc>
        <w:tc>
          <w:tcPr>
            <w:tcW w:type="dxa" w:w="173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٩٦</w:t>
            </w:r>
          </w:p>
        </w:tc>
        <w:tc>
          <w:tcPr>
            <w:tcW w:type="dxa" w:w="17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w:t>
            </w:r>
          </w:p>
        </w:tc>
      </w:tr>
      <w:tr>
        <w:trPr>
          <w:tblHeader w:val="false"/>
        </w:trPr>
        <w:tc>
          <w:tcPr>
            <w:tcW w:type="dxa" w:w="18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بقية الوظائف</w:t>
            </w:r>
          </w:p>
        </w:tc>
        <w:tc>
          <w:tcPr>
            <w:tcW w:type="dxa" w:w="4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وصول إداري ولا لبيانات حساسة</w:t>
            </w:r>
          </w:p>
        </w:tc>
        <w:tc>
          <w:tcPr>
            <w:tcW w:type="dxa" w:w="173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الباقي</w:t>
            </w:r>
          </w:p>
        </w:tc>
        <w:tc>
          <w:tcPr>
            <w:tcW w:type="dxa" w:w="17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أساسي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أولاً: قبل بدء العلاقة المهنية</w:t>
      </w:r>
    </w:p>
    <w:p>
      <w:pPr>
        <w:pStyle w:val="Heading3"/>
        <w:bidi/>
        <w:spacing w:after="90" w:before="200" w:line="300"/>
        <w:jc w:val="start"/>
      </w:pPr>
      <w:r>
        <w:rPr>
          <w:rFonts w:ascii="Arial" w:cs="Arial" w:eastAsia="Arial" w:hAnsi="Arial"/>
          <w:b/>
          <w:bCs/>
          <w:color w:val="0C1F3D"/>
          <w:sz w:val="23"/>
          <w:szCs w:val="23"/>
          <w:rtl/>
        </w:rPr>
        <w:t xml:space="preserve">المسح الأمني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848"/>
        <w:gridCol w:w="6512"/>
      </w:tblGrid>
      <w:tr>
        <w:trPr>
          <w:tblHeader/>
        </w:trPr>
        <w:tc>
          <w:tcPr>
            <w:tcW w:type="dxa" w:w="284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الفئة</w:t>
            </w:r>
          </w:p>
        </w:tc>
        <w:tc>
          <w:tcPr>
            <w:tcW w:type="dxa" w:w="651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8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وظائف الأمن السيبراني</w:t>
            </w:r>
          </w:p>
        </w:tc>
        <w:tc>
          <w:tcPr>
            <w:tcW w:type="dxa" w:w="65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مسح أمني إلزامي قبل التعيين، ولا يُستكمل التعيين قبل صدور نتيجته</w:t>
            </w:r>
          </w:p>
        </w:tc>
      </w:tr>
      <w:tr>
        <w:trPr>
          <w:tblHeader w:val="false"/>
        </w:trPr>
        <w:tc>
          <w:tcPr>
            <w:tcW w:type="dxa" w:w="284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وظائف تقنية ذات صلاحيات هامة</w:t>
            </w:r>
          </w:p>
        </w:tc>
        <w:tc>
          <w:tcPr>
            <w:tcW w:type="dxa" w:w="65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مسح أمني إلزامي قبل منح الصلاحيات</w:t>
            </w:r>
          </w:p>
        </w:tc>
      </w:tr>
      <w:tr>
        <w:trPr>
          <w:tblHeader w:val="false"/>
        </w:trPr>
        <w:tc>
          <w:tcPr>
            <w:tcW w:type="dxa" w:w="284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المتعاقدون في الفئتين أعلاه</w:t>
            </w:r>
          </w:p>
        </w:tc>
        <w:tc>
          <w:tcPr>
            <w:tcW w:type="dxa" w:w="651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مسح أمني إلزامي بالشروط ذاتها المطبَّقة على الموظفين</w:t>
            </w:r>
          </w:p>
        </w:tc>
      </w:tr>
      <w:tr>
        <w:trPr>
          <w:tblHeader w:val="false"/>
        </w:trPr>
        <w:tc>
          <w:tcPr>
            <w:tcW w:type="dxa" w:w="284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بقية الوظائف</w:t>
            </w:r>
          </w:p>
        </w:tc>
        <w:tc>
          <w:tcPr>
            <w:tcW w:type="dxa" w:w="651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المؤهلات والخبرات والمرجعيات</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ملزِمة:</w:t>
      </w:r>
      <w:r>
        <w:rPr>
          <w:rFonts w:ascii="Arial" w:cs="Arial" w:eastAsia="Arial" w:hAnsi="Arial"/>
          <w:b w:val="false"/>
          <w:bCs w:val="false"/>
          <w:color w:val="16202A"/>
          <w:sz w:val="21"/>
          <w:szCs w:val="21"/>
          <w:rtl/>
        </w:rPr>
        <w:t xml:space="preserve"> لا يُمنح وصول إداري لبيئة الإنتاج أو للكود المصدري قبل اكتمال المسح الأمني، ولو باشر الشخص عمله.</w:t>
      </w:r>
    </w:p>
    <w:p>
      <w:pPr>
        <w:pStyle w:val="Heading3"/>
        <w:bidi/>
        <w:spacing w:after="90" w:before="200" w:line="300"/>
        <w:jc w:val="start"/>
      </w:pPr>
      <w:r>
        <w:rPr>
          <w:rFonts w:ascii="Arial" w:cs="Arial" w:eastAsia="Arial" w:hAnsi="Arial"/>
          <w:b/>
          <w:bCs/>
          <w:color w:val="0C1F3D"/>
          <w:sz w:val="23"/>
          <w:szCs w:val="23"/>
          <w:rtl/>
        </w:rPr>
        <w:t xml:space="preserve">البنود التعاقدية</w:t>
      </w:r>
    </w:p>
    <w:p>
      <w:pPr>
        <w:bidi/>
        <w:spacing w:after="140" w:before="0" w:line="300"/>
        <w:jc w:val="start"/>
      </w:pPr>
      <w:r>
        <w:rPr>
          <w:rFonts w:ascii="Arial" w:cs="Arial" w:eastAsia="Arial" w:hAnsi="Arial"/>
          <w:b w:val="false"/>
          <w:bCs w:val="false"/>
          <w:color w:val="16202A"/>
          <w:sz w:val="21"/>
          <w:szCs w:val="21"/>
          <w:rtl/>
        </w:rPr>
        <w:t xml:space="preserve">تُدرج البنود التالية إلزامياً في عقود جميع العاملين والمتعاقدين:</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74"/>
        <w:gridCol w:w="6686"/>
      </w:tblGrid>
      <w:tr>
        <w:trPr>
          <w:tblHeader/>
        </w:trPr>
        <w:tc>
          <w:tcPr>
            <w:tcW w:type="dxa" w:w="267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6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المحافظة على سرية المعلومات طوال مدة العلاقة وبعد انتهائها</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6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بسياسات وإجراءات الأمن السيبراني للشركة</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ملكية الشركة للكود المصدري والوثائق والمخرجات المنتَجة خلال العمل</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6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عدم استخدام أصول الشركة أو بياناتها لأي غرض خارج نطاق العمل</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الإبلاغ الفوري عن أي حادثة أو حدث مشبوه</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66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جميع الأصول والوثائق عند انتهاء العلاقة</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66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المسؤولية النظامية عن المخالفات الجسيمة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وتُضاف لعقود العاملين في إدارة الأمن السيبراني بنود خاصة تتعلق بالاطلاع على معلومات الحوادث ونتائج التقييمات وتقارير الثغرات.</w:t>
      </w:r>
    </w:p>
    <w:p>
      <w:pPr>
        <w:pStyle w:val="Heading2"/>
        <w:bidi/>
        <w:spacing w:after="120" w:before="280" w:line="300"/>
        <w:jc w:val="start"/>
      </w:pPr>
      <w:r>
        <w:rPr>
          <w:rFonts w:ascii="Arial" w:cs="Arial" w:eastAsia="Arial" w:hAnsi="Arial"/>
          <w:b/>
          <w:bCs/>
          <w:color w:val="15325C"/>
          <w:sz w:val="27"/>
          <w:szCs w:val="27"/>
          <w:rtl/>
        </w:rPr>
        <w:t xml:space="preserve">ثانياً: خلال العلاقة المهنية</w:t>
      </w:r>
    </w:p>
    <w:p>
      <w:pPr>
        <w:pStyle w:val="Heading3"/>
        <w:bidi/>
        <w:spacing w:after="90" w:before="200" w:line="300"/>
        <w:jc w:val="start"/>
      </w:pPr>
      <w:r>
        <w:rPr>
          <w:rFonts w:ascii="Arial" w:cs="Arial" w:eastAsia="Arial" w:hAnsi="Arial"/>
          <w:b/>
          <w:bCs/>
          <w:color w:val="0C1F3D"/>
          <w:sz w:val="23"/>
          <w:szCs w:val="23"/>
          <w:rtl/>
        </w:rPr>
        <w:t xml:space="preserve">التوعية التمهيدية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التفصيل</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التوقيت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قبل مباشرة العمل ومنح صلاحيات الدخول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المحتوى</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سياسات الأمن السيبراني · الاستخدام المقبول · التصيّد · التعامل مع البيانات · الإبلاغ عن الحوادث</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الإثبات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إقرار موقّع بالاطلاع والالتزام يُحفظ في الملف الوظيفي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ملزِمة:</w:t>
      </w:r>
      <w:r>
        <w:rPr>
          <w:rFonts w:ascii="Arial" w:cs="Arial" w:eastAsia="Arial" w:hAnsi="Arial"/>
          <w:b w:val="false"/>
          <w:bCs w:val="false"/>
          <w:color w:val="16202A"/>
          <w:sz w:val="21"/>
          <w:szCs w:val="21"/>
          <w:rtl/>
        </w:rPr>
        <w:t xml:space="preserve"> لا تُمنح صلاحيات الدخول قبل إتمام التوعية التمهيدية وتوقيع الإقرار.</w:t>
      </w:r>
    </w:p>
    <w:p>
      <w:pPr>
        <w:pStyle w:val="Heading3"/>
        <w:bidi/>
        <w:spacing w:after="90" w:before="200" w:line="300"/>
        <w:jc w:val="start"/>
      </w:pPr>
      <w:r>
        <w:rPr>
          <w:rFonts w:ascii="Arial" w:cs="Arial" w:eastAsia="Arial" w:hAnsi="Arial"/>
          <w:b/>
          <w:bCs/>
          <w:color w:val="0C1F3D"/>
          <w:sz w:val="23"/>
          <w:szCs w:val="23"/>
          <w:rtl/>
        </w:rPr>
        <w:t xml:space="preserve">الالتزام المستمر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يلتزم كل عامل ومتعاقد بتطبيق سياسات الأمن السيبراني وإجراءاته في أدائه اليومي.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يخضع الجميع لبرنامج التوعية الدوري المعتمد.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تخضع الوظائف ذات الصلاحيات الهامة لمحتوى توعوي متخصص إضافي.</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يُدرَج أداء الالتزام بمتطلبات الأمن السيبراني ضمن معايير تقييم الأداء لشاغلي وظائف الأمن السيبراني والوظائف التقنية ذات الصلاحيات الهامة.</w:t>
      </w:r>
    </w:p>
    <w:p>
      <w:pPr>
        <w:pStyle w:val="Heading3"/>
        <w:bidi/>
        <w:spacing w:after="90" w:before="200" w:line="300"/>
        <w:jc w:val="start"/>
      </w:pPr>
      <w:r>
        <w:rPr>
          <w:rFonts w:ascii="Arial" w:cs="Arial" w:eastAsia="Arial" w:hAnsi="Arial"/>
          <w:b/>
          <w:bCs/>
          <w:color w:val="0C1F3D"/>
          <w:sz w:val="23"/>
          <w:szCs w:val="23"/>
          <w:rtl/>
        </w:rPr>
        <w:t xml:space="preserve">عند تغيّر الدور</w:t>
      </w:r>
    </w:p>
    <w:p>
      <w:pPr>
        <w:bidi/>
        <w:spacing w:after="140" w:before="0" w:line="300"/>
        <w:jc w:val="start"/>
      </w:pPr>
      <w:r>
        <w:rPr>
          <w:rFonts w:ascii="Arial" w:cs="Arial" w:eastAsia="Arial" w:hAnsi="Arial"/>
          <w:b w:val="false"/>
          <w:bCs w:val="false"/>
          <w:color w:val="16202A"/>
          <w:sz w:val="21"/>
          <w:szCs w:val="21"/>
          <w:rtl/>
        </w:rPr>
        <w:t xml:space="preserve">يُعاد تقييم متطلبات الأمن السيبراني عند تغيّر الدور الوظيفي، وتُلغى صلاحيات الدور السابق قبل منح صلاحيات الدور الجديد.</w:t>
      </w:r>
    </w:p>
    <w:p>
      <w:pPr>
        <w:pStyle w:val="Heading2"/>
        <w:bidi/>
        <w:spacing w:after="120" w:before="280" w:line="300"/>
        <w:jc w:val="start"/>
      </w:pPr>
      <w:r>
        <w:rPr>
          <w:rFonts w:ascii="Arial" w:cs="Arial" w:eastAsia="Arial" w:hAnsi="Arial"/>
          <w:b/>
          <w:bCs/>
          <w:color w:val="15325C"/>
          <w:sz w:val="27"/>
          <w:szCs w:val="27"/>
          <w:rtl/>
        </w:rPr>
        <w:t xml:space="preserve">ثالثاً: عند انتهاء أو إنهاء العلاقة</w:t>
      </w:r>
    </w:p>
    <w:p>
      <w:pPr>
        <w:bidi/>
        <w:spacing w:after="140" w:before="0" w:line="300"/>
        <w:jc w:val="start"/>
      </w:pPr>
      <w:r>
        <w:rPr>
          <w:rFonts w:ascii="Arial" w:cs="Arial" w:eastAsia="Arial" w:hAnsi="Arial"/>
          <w:b w:val="false"/>
          <w:bCs w:val="false"/>
          <w:color w:val="16202A"/>
          <w:sz w:val="21"/>
          <w:szCs w:val="21"/>
          <w:rtl/>
        </w:rPr>
        <w:t xml:space="preserve">تُنفَّذ متطلبات انتهاء العلاقة وفق إجراء إخلاء الطرف التقني CS-PRO-003، وتشمل: إلغاء جميع الصلاحيات ضمن المهل الملزِمة، واسترجاع الأصول، ونقل ملكية البيانات والحسابات غير البشرية، وتوقيع إقرار استمرار التزام السرية.</w:t>
      </w:r>
    </w:p>
    <w:p>
      <w:pPr>
        <w:bidi/>
        <w:spacing w:after="140" w:before="0" w:line="300"/>
        <w:jc w:val="start"/>
      </w:pPr>
      <w:r>
        <w:rPr>
          <w:rFonts w:ascii="Arial" w:cs="Arial" w:eastAsia="Arial" w:hAnsi="Arial"/>
          <w:b/>
          <w:bCs/>
          <w:color w:val="15325C"/>
          <w:sz w:val="21"/>
          <w:szCs w:val="21"/>
          <w:rtl/>
        </w:rPr>
        <w:t xml:space="preserve">تُلغى الصلاحيات في حالات الإنهاء الفوري أو الإيقاف عن العمل قبل إبلاغ الشخص بالقرار.</w:t>
      </w:r>
    </w:p>
    <w:p>
      <w:pPr>
        <w:pStyle w:val="Heading2"/>
        <w:bidi/>
        <w:spacing w:after="120" w:before="280" w:line="300"/>
        <w:jc w:val="start"/>
      </w:pPr>
      <w:r>
        <w:rPr>
          <w:rFonts w:ascii="Arial" w:cs="Arial" w:eastAsia="Arial" w:hAnsi="Arial"/>
          <w:b/>
          <w:bCs/>
          <w:color w:val="15325C"/>
          <w:sz w:val="27"/>
          <w:szCs w:val="27"/>
          <w:rtl/>
        </w:rPr>
        <w:t xml:space="preserve">رابعاً: المخالفات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02"/>
        <w:gridCol w:w="4714"/>
        <w:gridCol w:w="2844"/>
      </w:tblGrid>
      <w:tr>
        <w:trPr>
          <w:tblHeader/>
        </w:trPr>
        <w:tc>
          <w:tcPr>
            <w:tcW w:type="dxa" w:w="18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47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أمثلة</w:t>
            </w:r>
          </w:p>
        </w:tc>
        <w:tc>
          <w:tcPr>
            <w:tcW w:type="dxa" w:w="284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r>
      <w:tr>
        <w:trPr>
          <w:tblHeader w:val="false"/>
        </w:trPr>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جسيمة</w:t>
            </w:r>
          </w:p>
        </w:tc>
        <w:tc>
          <w:tcPr>
            <w:tcW w:type="dxa" w:w="4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مشاركة بيانات اعتماد · نقل بيانات الشركة لخارجها · تعطيل ضابط أمني عمداً</w:t>
            </w:r>
          </w:p>
        </w:tc>
        <w:tc>
          <w:tcPr>
            <w:tcW w:type="dxa" w:w="28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تعليق الوصول فوراً وإحالة للموارد البشرية</w:t>
            </w:r>
          </w:p>
        </w:tc>
      </w:tr>
      <w:tr>
        <w:trPr>
          <w:tblHeader w:val="false"/>
        </w:trPr>
        <w:tc>
          <w:tcPr>
            <w:tcW w:type="dxa" w:w="18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متوسطة</w:t>
            </w:r>
          </w:p>
        </w:tc>
        <w:tc>
          <w:tcPr>
            <w:tcW w:type="dxa" w:w="4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تجاوز إجراء معتمد دون قصد ضار · إهمال متكرر في حماية الأصول</w:t>
            </w:r>
          </w:p>
        </w:tc>
        <w:tc>
          <w:tcPr>
            <w:tcW w:type="dxa" w:w="28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موثق وتوعية موجَّهة</w:t>
            </w:r>
          </w:p>
        </w:tc>
      </w:tr>
      <w:tr>
        <w:trPr>
          <w:tblHeader w:val="false"/>
        </w:trPr>
        <w:tc>
          <w:tcPr>
            <w:tcW w:type="dxa" w:w="18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بسيطة</w:t>
            </w:r>
          </w:p>
        </w:tc>
        <w:tc>
          <w:tcPr>
            <w:tcW w:type="dxa" w:w="4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إغفال غير متعمد لا يترتب عليه أثر</w:t>
            </w:r>
          </w:p>
        </w:tc>
        <w:tc>
          <w:tcPr>
            <w:tcW w:type="dxa" w:w="28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شفهي موثق</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21"/>
        <w:gridCol w:w="2726"/>
        <w:gridCol w:w="3613"/>
      </w:tblGrid>
      <w:tr>
        <w:trPr>
          <w:tblHeader/>
        </w:trPr>
        <w:tc>
          <w:tcPr>
            <w:tcW w:type="dxa" w:w="302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المراجعة</w:t>
            </w:r>
          </w:p>
        </w:tc>
        <w:tc>
          <w:tcPr>
            <w:tcW w:type="dxa" w:w="27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361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302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شاملة لهذه السياسة</w:t>
            </w:r>
          </w:p>
        </w:tc>
        <w:tc>
          <w:tcPr>
            <w:tcW w:type="dxa" w:w="2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361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 بالتنسيق مع إدارة الأمن السيبراني</w:t>
            </w:r>
          </w:p>
        </w:tc>
      </w:tr>
      <w:tr>
        <w:trPr>
          <w:tblHeader w:val="false"/>
        </w:trPr>
        <w:tc>
          <w:tcPr>
            <w:tcW w:type="dxa" w:w="302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البنود التعاقدية</w:t>
            </w:r>
          </w:p>
        </w:tc>
        <w:tc>
          <w:tcPr>
            <w:tcW w:type="dxa" w:w="27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 · وعند تغيّر المتطلبات التشريعية</w:t>
            </w:r>
          </w:p>
        </w:tc>
        <w:tc>
          <w:tcPr>
            <w:tcW w:type="dxa" w:w="361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الشؤون القانونية</w:t>
            </w:r>
          </w:p>
        </w:tc>
      </w:tr>
      <w:tr>
        <w:trPr>
          <w:tblHeader w:val="false"/>
        </w:trPr>
        <w:tc>
          <w:tcPr>
            <w:tcW w:type="dxa" w:w="302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قائمة الوظائف الخاضعة للمسح الأمني</w:t>
            </w:r>
          </w:p>
        </w:tc>
        <w:tc>
          <w:tcPr>
            <w:tcW w:type="dxa" w:w="2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361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 · رئيس الأمن السيبراني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وتُراجَع السياسة استثنائياً عند تغيّر المتطلبات التشريعية أو التنظيمية، أو عقب حادثة يكون العنصر البشري سبباً فيها.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29"/>
        <w:gridCol w:w="3870"/>
        <w:gridCol w:w="1829"/>
        <w:gridCol w:w="1832"/>
      </w:tblGrid>
      <w:tr>
        <w:trPr>
          <w:tblHeader/>
        </w:trPr>
        <w:tc>
          <w:tcPr>
            <w:tcW w:type="dxa" w:w="18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87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8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83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38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لمياء القحطاني — مدير الموارد البشرية</w:t>
            </w:r>
          </w:p>
        </w:tc>
        <w:tc>
          <w:tcPr>
            <w:tcW w:type="dxa" w:w="1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38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 · الشؤون القانونية</w:t>
            </w:r>
          </w:p>
        </w:tc>
        <w:tc>
          <w:tcPr>
            <w:tcW w:type="dxa" w:w="18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38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CS-POL-004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2026-10-04T11:48:00.961Z</dcterms:created>
  <dcterms:modified xsi:type="dcterms:W3CDTF">2026-10-04T11:48:00.961Z</dcterms:modified>
</cp:coreProperties>
</file>

<file path=docProps/custom.xml><?xml version="1.0" encoding="utf-8"?>
<Properties xmlns="http://schemas.openxmlformats.org/officeDocument/2006/custom-properties" xmlns:vt="http://schemas.openxmlformats.org/officeDocument/2006/docPropsVTypes"/>
</file>