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0C1F3D" w:color="auto" w:val="clear"/>
            <w:tcMar>
              <w:top w:type="dxa" w:w="340"/>
              <w:left w:type="dxa" w:w="340"/>
              <w:bottom w:type="dxa" w:w="340"/>
              <w:right w:type="dxa" w:w="340"/>
            </w:tcMar>
          </w:tcPr>
          <w:p>
            <w:pPr>
              <w:bidi/>
              <w:spacing w:after="40" w:before="0" w:line="300"/>
              <w:jc w:val="start"/>
            </w:pPr>
            <w:r>
              <w:rPr>
                <w:rFonts w:ascii="Arial" w:cs="Arial" w:eastAsia="Arial" w:hAnsi="Arial"/>
                <w:b/>
                <w:bCs/>
                <w:color w:val="FFFFFF"/>
                <w:sz w:val="30"/>
                <w:szCs w:val="30"/>
                <w:rtl/>
              </w:rPr>
              <w:t xml:space="preserve">شركة نَسَق للحلول الرقمية</w:t>
            </w:r>
          </w:p>
          <w:p>
            <w:pPr>
              <w:bidi/>
              <w:spacing w:after="30" w:before="0" w:line="300"/>
              <w:jc w:val="start"/>
            </w:pPr>
            <w:r>
              <w:rPr>
                <w:rFonts w:ascii="Arial" w:cs="Arial" w:eastAsia="Arial" w:hAnsi="Arial"/>
                <w:b w:val="false"/>
                <w:bCs w:val="false"/>
                <w:color w:val="9FB6C9"/>
                <w:sz w:val="18"/>
                <w:szCs w:val="18"/>
                <w:rtl/>
              </w:rPr>
              <w:t xml:space="preserve">إدارة الأمن السيبراني</w:t>
            </w:r>
          </w:p>
          <w:p>
            <w:pPr>
              <w:bidi/>
              <w:spacing w:after="700" w:before="0" w:line="300"/>
              <w:jc w:val="start"/>
            </w:pPr>
            <w:r>
              <w:rPr>
                <w:rFonts w:ascii="Arial" w:cs="Arial" w:eastAsia="Arial" w:hAnsi="Arial"/>
                <w:color w:val="6E8CA6"/>
                <w:sz w:val="14"/>
                <w:szCs w:val="14"/>
              </w:rPr>
              <w:t xml:space="preserve">NASAQ DIGITAL SOLUTIONS CO</w:t>
            </w:r>
          </w:p>
          <w:p>
            <w:pPr>
              <w:bidi/>
              <w:spacing w:after="90" w:before="0" w:line="300"/>
              <w:jc w:val="start"/>
            </w:pPr>
            <w:r>
              <w:rPr>
                <w:rFonts w:ascii="Arial" w:cs="Arial" w:eastAsia="Arial" w:hAnsi="Arial"/>
                <w:b w:val="false"/>
                <w:bCs w:val="false"/>
                <w:color w:val="C9A227"/>
                <w:sz w:val="19"/>
                <w:szCs w:val="19"/>
                <w:rtl/>
              </w:rPr>
              <w:t xml:space="preserve">إجراء معتمد</w:t>
            </w:r>
          </w:p>
          <w:p>
            <w:pPr>
              <w:bidi/>
              <w:spacing w:after="120" w:before="0" w:line="420"/>
              <w:jc w:val="start"/>
            </w:pPr>
            <w:r>
              <w:rPr>
                <w:rFonts w:ascii="Arial" w:cs="Arial" w:eastAsia="Arial" w:hAnsi="Arial"/>
                <w:b/>
                <w:bCs/>
                <w:color w:val="FFFFFF"/>
                <w:sz w:val="52"/>
                <w:szCs w:val="52"/>
                <w:rtl/>
              </w:rPr>
              <w:t xml:space="preserve">إجراء إخلاء الطرف التقني</w:t>
            </w:r>
          </w:p>
          <w:p>
            <w:pPr>
              <w:bidi/>
              <w:spacing w:after="260" w:before="0" w:line="300"/>
              <w:jc w:val="start"/>
            </w:pPr>
            <w:r>
              <w:rPr>
                <w:rFonts w:ascii="Arial" w:cs="Arial" w:eastAsia="Arial" w:hAnsi="Arial"/>
                <w:b w:val="false"/>
                <w:bCs w:val="false"/>
                <w:color w:val="AFC4D4"/>
                <w:sz w:val="22"/>
                <w:szCs w:val="22"/>
                <w:rtl/>
              </w:rPr>
              <w:t xml:space="preserve">إلغاء الصلاحيات عند انتهاء العلاقة · نموذج إخلاء طرف</w:t>
            </w:r>
          </w:p>
          <w:p>
            <w:pPr>
              <w:bidi/>
              <w:spacing w:after="0" w:before="0" w:line="300"/>
              <w:jc w:val="start"/>
            </w:pPr>
            <w:r>
              <w:rPr>
                <w:rFonts w:ascii="Arial" w:cs="Arial" w:eastAsia="Arial" w:hAnsi="Arial"/>
                <w:b/>
                <w:bCs/>
                <w:color w:val="C9A227"/>
                <w:sz w:val="18"/>
                <w:szCs w:val="18"/>
                <w:rtl/>
              </w:rPr>
              <w:t xml:space="preserve">تصنيف الوثيقة: سري</w:t>
            </w:r>
          </w:p>
        </w:tc>
      </w:tr>
    </w:tbl>
    <w:p>
      <w:pPr>
        <w:bidi/>
        <w:spacing w:after="260" w:before="0" w:line="300"/>
        <w:jc w:val="start"/>
      </w:pPr>
      <w:r>
        <w:rPr>
          <w:rFonts w:ascii="Arial" w:cs="Arial" w:eastAsia="Arial" w:hAnsi="Arial"/>
          <w:b w:val="false"/>
          <w:bCs w:val="false"/>
          <w:color w:val="16202A"/>
          <w:sz w:val="12"/>
          <w:szCs w:val="12"/>
          <w:rtl/>
        </w:rPr>
        <w:t xml:space="preserve"/>
      </w:r>
    </w:p>
    <w:tbl>
      <w:tblPr>
        <w:bidiVisual/>
        <w:tblW w:type="dxa" w:w="9360"/>
        <w:tblBorders>
          <w:top w:val="none"/>
          <w:left w:val="none"/>
          <w:bottom w:val="none"/>
          <w:right w:val="none"/>
          <w:insideH w:val="single" w:color="D8E0E3" w:sz="2"/>
          <w:insideV w:val="none"/>
        </w:tblBorders>
      </w:tblPr>
      <w:tblGrid>
        <w:gridCol w:w="3400"/>
        <w:gridCol w:w="5960"/>
      </w:tblGrid>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CS-PRO-003</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الإصدار</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1.0</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مالك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مدير الموارد البشرية</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جهة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الرئيس التنفيذي — صاحب الصلاحية</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١٤٤٨هـ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المراجعة القادمة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١٤٤٩هـ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الضابط المرتبط</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ECC-2:2024 — 1-9-5</w:t>
            </w:r>
          </w:p>
        </w:tc>
      </w:tr>
    </w:tbl>
    <w:p>
      <w:pPr>
        <w:bidi/>
        <w:spacing w:after="360" w:before="0" w:line="300"/>
        <w:jc w:val="start"/>
      </w:pPr>
      <w:r>
        <w:rPr>
          <w:rFonts w:ascii="Arial" w:cs="Arial" w:eastAsia="Arial" w:hAnsi="Arial"/>
          <w:b w:val="false"/>
          <w:bCs w:val="false"/>
          <w:color w:val="16202A"/>
          <w:sz w:val="12"/>
          <w:szCs w:val="12"/>
          <w:rtl/>
        </w:rPr>
        <w:t xml:space="preserve"/>
      </w:r>
    </w:p>
    <w:p>
      <w:pPr>
        <w:bidi/>
        <w:spacing w:after="0" w:before="0" w:line="300"/>
        <w:jc w:val="start"/>
      </w:pPr>
      <w:r>
        <w:rPr>
          <w:rFonts w:ascii="Arial" w:cs="Arial" w:eastAsia="Arial" w:hAnsi="Arial"/>
          <w:b w:val="false"/>
          <w:bCs w:val="false"/>
          <w:color w:val="5A6672"/>
          <w:sz w:val="16"/>
          <w:szCs w:val="16"/>
          <w:rtl/>
        </w:rPr>
        <w:t xml:space="preserve">هذه الوثيقة ملكية فكرية لـ شركة نَسَق للحلول الرقمية، وتصنيفها «سري». لا يجوز نسخها أو تداولها خارج الشركة دون موافقة خطية من مالك الوثيقة.</w:t>
      </w:r>
    </w:p>
    <w:p>
      <w:pPr>
        <w:sectPr>
          <w:headerReference w:type="default" r:id="rId7"/>
          <w:footerReference w:type="default" r:id="rId8"/>
          <w:pgSz w:w="11906" w:h="16838" w:orient="portrait"/>
          <w:pgMar w:top="1000" w:right="1080" w:bottom="900" w:left="1080" w:header="708" w:footer="708" w:gutter="0"/>
          <w:pgNumType/>
          <w:docGrid w:linePitch="360"/>
        </w:sectPr>
      </w:pPr>
    </w:p>
    <w:p>
      <w:pPr>
        <w:pStyle w:val="Heading1"/>
        <w:bidi/>
        <w:spacing w:after="200" w:before="0" w:line="300"/>
        <w:jc w:val="start"/>
      </w:pPr>
      <w:r>
        <w:rPr>
          <w:rFonts w:ascii="Arial" w:cs="Arial" w:eastAsia="Arial" w:hAnsi="Arial"/>
          <w:b/>
          <w:bCs/>
          <w:color w:val="15325C"/>
          <w:sz w:val="32"/>
          <w:szCs w:val="32"/>
          <w:rtl/>
        </w:rPr>
        <w:t xml:space="preserve">إجراء إخلاء الطرف التقني</w:t>
      </w:r>
    </w:p>
    <w:p>
      <w:pPr>
        <w:pStyle w:val="Heading2"/>
        <w:bidi/>
        <w:spacing w:after="120" w:before="280" w:line="300"/>
        <w:jc w:val="start"/>
      </w:pPr>
      <w:r>
        <w:rPr>
          <w:rFonts w:ascii="Arial" w:cs="Arial" w:eastAsia="Arial" w:hAnsi="Arial"/>
          <w:b/>
          <w:bCs/>
          <w:color w:val="15325C"/>
          <w:sz w:val="27"/>
          <w:szCs w:val="27"/>
          <w:rtl/>
        </w:rPr>
        <w:t xml:space="preserve">الغرض</w:t>
      </w:r>
    </w:p>
    <w:p>
      <w:pPr>
        <w:bidi/>
        <w:spacing w:after="140" w:before="0" w:line="300"/>
        <w:jc w:val="start"/>
      </w:pPr>
      <w:r>
        <w:rPr>
          <w:rFonts w:ascii="Arial" w:cs="Arial" w:eastAsia="Arial" w:hAnsi="Arial"/>
          <w:b w:val="false"/>
          <w:bCs w:val="false"/>
          <w:color w:val="16202A"/>
          <w:sz w:val="21"/>
          <w:szCs w:val="21"/>
          <w:rtl/>
        </w:rPr>
        <w:t xml:space="preserve">يحدد هذا الإجراء خطوات إلغاء صلاحيات الوصول واسترجاع الأصول عند انتهاء أو إنهاء العلاقة الوظيفية أو التعاقدية في شركة نَسَق للحلول الرقمية، بما يمنع بقاء أي وصول غير مبرر بعد انتهاء العلاقة، ويُعدّ مخرَجاً من حزمة العمل WP-03.</w:t>
      </w:r>
    </w:p>
    <w:p>
      <w:pPr>
        <w:pStyle w:val="Heading2"/>
        <w:bidi/>
        <w:spacing w:after="120" w:before="280" w:line="300"/>
        <w:jc w:val="start"/>
      </w:pPr>
      <w:r>
        <w:rPr>
          <w:rFonts w:ascii="Arial" w:cs="Arial" w:eastAsia="Arial" w:hAnsi="Arial"/>
          <w:b/>
          <w:bCs/>
          <w:color w:val="15325C"/>
          <w:sz w:val="27"/>
          <w:szCs w:val="27"/>
          <w:rtl/>
        </w:rPr>
        <w:t xml:space="preserve">المرجعية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5864"/>
        <w:gridCol w:w="3496"/>
      </w:tblGrid>
      <w:tr>
        <w:trPr>
          <w:tblHeader/>
        </w:trPr>
        <w:tc>
          <w:tcPr>
            <w:tcW w:type="dxa" w:w="586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المرجع</w:t>
            </w:r>
          </w:p>
        </w:tc>
        <w:tc>
          <w:tcPr>
            <w:tcW w:type="dxa" w:w="349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العلاقة</w:t>
            </w:r>
          </w:p>
        </w:tc>
      </w:tr>
      <w:tr>
        <w:trPr>
          <w:tblHeader w:val="false"/>
        </w:trPr>
        <w:tc>
          <w:tcPr>
            <w:tcW w:type="dxa" w:w="586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ECC-2:2024 — الضابط ١-٩-٥</w:t>
            </w:r>
          </w:p>
        </w:tc>
        <w:tc>
          <w:tcPr>
            <w:tcW w:type="dxa" w:w="349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الضابط الذي يستوفيه هذا الإجراء</w:t>
            </w:r>
          </w:p>
        </w:tc>
      </w:tr>
      <w:tr>
        <w:trPr>
          <w:tblHeader w:val="false"/>
        </w:trPr>
        <w:tc>
          <w:tcPr>
            <w:tcW w:type="dxa" w:w="586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سياسة إدارة هويات الدخول والصلاحيات CS-POL-002</w:t>
            </w:r>
          </w:p>
        </w:tc>
        <w:tc>
          <w:tcPr>
            <w:tcW w:type="dxa" w:w="349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السياسة الحاكمة</w:t>
            </w:r>
          </w:p>
        </w:tc>
      </w:tr>
      <w:tr>
        <w:trPr>
          <w:tblHeader w:val="false"/>
        </w:trPr>
        <w:tc>
          <w:tcPr>
            <w:tcW w:type="dxa" w:w="586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معيار إدارة الحسابات ذات الصلاحيات الهامة CS-STD-003</w:t>
            </w:r>
          </w:p>
        </w:tc>
        <w:tc>
          <w:tcPr>
            <w:tcW w:type="dxa" w:w="349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معالجة الحسابات الإدارية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النطاق</w:t>
      </w:r>
    </w:p>
    <w:p>
      <w:pPr>
        <w:bidi/>
        <w:spacing w:after="140" w:before="0" w:line="300"/>
        <w:jc w:val="start"/>
      </w:pPr>
      <w:r>
        <w:rPr>
          <w:rFonts w:ascii="Arial" w:cs="Arial" w:eastAsia="Arial" w:hAnsi="Arial"/>
          <w:b w:val="false"/>
          <w:bCs w:val="false"/>
          <w:color w:val="16202A"/>
          <w:sz w:val="21"/>
          <w:szCs w:val="21"/>
          <w:rtl/>
        </w:rPr>
        <w:t xml:space="preserve">يسري هذا الإجراء على الموظفين والمتعاقدين ومورّدي الخدمات والمتدربين، وعلى جميع حالات انتهاء العلاقة: الاستقالة، وانتهاء العقد، والإنهاء، والنقل بين الإدارات، والإيقاف عن العمل.</w:t>
      </w:r>
    </w:p>
    <w:p>
      <w:pPr>
        <w:pStyle w:val="Heading2"/>
        <w:bidi/>
        <w:spacing w:after="120" w:before="280" w:line="300"/>
        <w:jc w:val="start"/>
      </w:pPr>
      <w:r>
        <w:rPr>
          <w:rFonts w:ascii="Arial" w:cs="Arial" w:eastAsia="Arial" w:hAnsi="Arial"/>
          <w:b/>
          <w:bCs/>
          <w:color w:val="15325C"/>
          <w:sz w:val="27"/>
          <w:szCs w:val="27"/>
          <w:rtl/>
        </w:rPr>
        <w:t xml:space="preserve">مبدأ التشغيل</w:t>
      </w:r>
    </w:p>
    <w:p>
      <w:pPr>
        <w:bidi/>
        <w:spacing w:after="140" w:before="0" w:line="300"/>
        <w:jc w:val="start"/>
      </w:pPr>
      <w:r>
        <w:rPr>
          <w:rFonts w:ascii="Arial" w:cs="Arial" w:eastAsia="Arial" w:hAnsi="Arial"/>
          <w:b/>
          <w:bCs/>
          <w:color w:val="15325C"/>
          <w:sz w:val="21"/>
          <w:szCs w:val="21"/>
          <w:rtl/>
        </w:rPr>
        <w:t xml:space="preserve">الإلغاء يسبق الإشعار.</w:t>
      </w:r>
      <w:r>
        <w:rPr>
          <w:rFonts w:ascii="Arial" w:cs="Arial" w:eastAsia="Arial" w:hAnsi="Arial"/>
          <w:b w:val="false"/>
          <w:bCs w:val="false"/>
          <w:color w:val="16202A"/>
          <w:sz w:val="21"/>
          <w:szCs w:val="21"/>
          <w:rtl/>
        </w:rPr>
        <w:t xml:space="preserve"> يُبنى هذا الإجراء على تنبيه آلي من نظام الموارد البشرية عند تسجيل تاريخ انتهاء العلاقة، ولا يعتمد على إشعار يدوي من المدير المباشر. الاعتماد على الإشعار اليدوي هو السبب المباشر لبقاء حسابات نشطة لمتعاقدين انتهت عقودهم.</w:t>
      </w:r>
    </w:p>
    <w:p>
      <w:pPr>
        <w:pStyle w:val="Heading2"/>
        <w:bidi/>
        <w:spacing w:after="120" w:before="280" w:line="300"/>
        <w:jc w:val="start"/>
      </w:pPr>
      <w:r>
        <w:rPr>
          <w:rFonts w:ascii="Arial" w:cs="Arial" w:eastAsia="Arial" w:hAnsi="Arial"/>
          <w:b/>
          <w:bCs/>
          <w:color w:val="15325C"/>
          <w:sz w:val="27"/>
          <w:szCs w:val="27"/>
          <w:rtl/>
        </w:rPr>
        <w:t xml:space="preserve">المهل الملزِمة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3120"/>
        <w:gridCol w:w="6240"/>
      </w:tblGrid>
      <w:tr>
        <w:trPr>
          <w:tblHeader/>
        </w:trPr>
        <w:tc>
          <w:tcPr>
            <w:tcW w:type="dxa" w:w="312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الحالة</w:t>
            </w:r>
          </w:p>
        </w:tc>
        <w:tc>
          <w:tcPr>
            <w:tcW w:type="dxa" w:w="62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مهلة إلغاء الوصول</w:t>
            </w:r>
          </w:p>
        </w:tc>
      </w:tr>
      <w:tr>
        <w:trPr>
          <w:tblHeader w:val="false"/>
        </w:trPr>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إنهاء فوري أو إيقاف عن العمل</w:t>
            </w:r>
          </w:p>
        </w:tc>
        <w:tc>
          <w:tcPr>
            <w:tcW w:type="dxa" w:w="62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خلال ساعة واحدة من القرار، قبل إبلاغ الشخص</w:t>
            </w:r>
          </w:p>
        </w:tc>
      </w:tr>
      <w:tr>
        <w:trPr>
          <w:tblHeader w:val="false"/>
        </w:trPr>
        <w:tc>
          <w:tcPr>
            <w:tcW w:type="dxa" w:w="31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انتهاء عقد أو استقالة بتاريخ معلوم</w:t>
            </w:r>
          </w:p>
        </w:tc>
        <w:tc>
          <w:tcPr>
            <w:tcW w:type="dxa" w:w="624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في نهاية آخر يوم عمل، آلياً</w:t>
            </w:r>
          </w:p>
        </w:tc>
      </w:tr>
      <w:tr>
        <w:trPr>
          <w:tblHeader w:val="false"/>
        </w:trPr>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صاحب صلاحيات هامة</w:t>
            </w:r>
          </w:p>
        </w:tc>
        <w:tc>
          <w:tcPr>
            <w:tcW w:type="dxa" w:w="62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خلال ساعة، مع تدوير بيانات اعتماد جميع الحسابات الإدارية التي تعامل معها</w:t>
            </w:r>
          </w:p>
        </w:tc>
      </w:tr>
      <w:tr>
        <w:trPr>
          <w:tblHeader w:val="false"/>
        </w:trPr>
        <w:tc>
          <w:tcPr>
            <w:tcW w:type="dxa" w:w="31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نقل بين الإدارات</w:t>
            </w:r>
          </w:p>
        </w:tc>
        <w:tc>
          <w:tcPr>
            <w:tcW w:type="dxa" w:w="624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إلغاء صلاحيات الدور السابق خلال يوم عمل من تاريخ النقل</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خطوات التنفيذ</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1483"/>
        <w:gridCol w:w="3139"/>
        <w:gridCol w:w="1769"/>
        <w:gridCol w:w="1483"/>
        <w:gridCol w:w="1486"/>
      </w:tblGrid>
      <w:tr>
        <w:trPr>
          <w:tblHeader/>
        </w:trPr>
        <w:tc>
          <w:tcPr>
            <w:tcW w:type="dxa" w:w="148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w:t>
            </w:r>
          </w:p>
        </w:tc>
        <w:tc>
          <w:tcPr>
            <w:tcW w:type="dxa" w:w="3139"/>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الخطوة</w:t>
            </w:r>
          </w:p>
        </w:tc>
        <w:tc>
          <w:tcPr>
            <w:tcW w:type="dxa" w:w="1769"/>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المسؤول</w:t>
            </w:r>
          </w:p>
        </w:tc>
        <w:tc>
          <w:tcPr>
            <w:tcW w:type="dxa" w:w="148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المهلة</w:t>
            </w:r>
          </w:p>
        </w:tc>
        <w:tc>
          <w:tcPr>
            <w:tcW w:type="dxa" w:w="148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الدليل</w:t>
            </w:r>
          </w:p>
        </w:tc>
      </w:tr>
      <w:tr>
        <w:trPr>
          <w:tblHeader w:val="false"/>
        </w:trPr>
        <w:tc>
          <w:tcPr>
            <w:tcW w:type="dxa" w:w="148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w:t>
            </w:r>
          </w:p>
        </w:tc>
        <w:tc>
          <w:tcPr>
            <w:tcW w:type="dxa" w:w="313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تنبيه آلي من نظام الموارد البشرية بقرب انتهاء العلاقة</w:t>
            </w:r>
          </w:p>
        </w:tc>
        <w:tc>
          <w:tcPr>
            <w:tcW w:type="dxa" w:w="176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نظام الموارد البشرية</w:t>
            </w:r>
          </w:p>
        </w:tc>
        <w:tc>
          <w:tcPr>
            <w:tcW w:type="dxa" w:w="148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قبل ٥ أيام عمل</w:t>
            </w:r>
          </w:p>
        </w:tc>
        <w:tc>
          <w:tcPr>
            <w:tcW w:type="dxa" w:w="148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سجل التنبيه</w:t>
            </w:r>
          </w:p>
        </w:tc>
      </w:tr>
      <w:tr>
        <w:trPr>
          <w:tblHeader w:val="false"/>
        </w:trPr>
        <w:tc>
          <w:tcPr>
            <w:tcW w:type="dxa" w:w="148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w:t>
            </w:r>
          </w:p>
        </w:tc>
        <w:tc>
          <w:tcPr>
            <w:tcW w:type="dxa" w:w="313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فتح تذكرة إخلاء طرف تقني وتعيين مسؤول</w:t>
            </w:r>
          </w:p>
        </w:tc>
        <w:tc>
          <w:tcPr>
            <w:tcW w:type="dxa" w:w="176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الموارد البشرية</w:t>
            </w:r>
          </w:p>
        </w:tc>
        <w:tc>
          <w:tcPr>
            <w:tcW w:type="dxa" w:w="148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فور التنبيه</w:t>
            </w:r>
          </w:p>
        </w:tc>
        <w:tc>
          <w:tcPr>
            <w:tcW w:type="dxa" w:w="148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رقم التذكرة</w:t>
            </w:r>
          </w:p>
        </w:tc>
      </w:tr>
      <w:tr>
        <w:trPr>
          <w:tblHeader w:val="false"/>
        </w:trPr>
        <w:tc>
          <w:tcPr>
            <w:tcW w:type="dxa" w:w="148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w:t>
            </w:r>
          </w:p>
        </w:tc>
        <w:tc>
          <w:tcPr>
            <w:tcW w:type="dxa" w:w="313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حصر حسابات الشخص وصلاحياته في جميع الأنظمة</w:t>
            </w:r>
          </w:p>
        </w:tc>
        <w:tc>
          <w:tcPr>
            <w:tcW w:type="dxa" w:w="176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العمليات السحابية</w:t>
            </w:r>
          </w:p>
        </w:tc>
        <w:tc>
          <w:tcPr>
            <w:tcW w:type="dxa" w:w="148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يوم عمل</w:t>
            </w:r>
          </w:p>
        </w:tc>
        <w:tc>
          <w:tcPr>
            <w:tcW w:type="dxa" w:w="148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قائمة الحسابات</w:t>
            </w:r>
          </w:p>
        </w:tc>
      </w:tr>
      <w:tr>
        <w:trPr>
          <w:tblHeader w:val="false"/>
        </w:trPr>
        <w:tc>
          <w:tcPr>
            <w:tcW w:type="dxa" w:w="148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313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تعطيل حسابات الدخول وقطع الجلسات النشطة</w:t>
            </w:r>
          </w:p>
        </w:tc>
        <w:tc>
          <w:tcPr>
            <w:tcW w:type="dxa" w:w="176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العمليات السحابية</w:t>
            </w:r>
          </w:p>
        </w:tc>
        <w:tc>
          <w:tcPr>
            <w:tcW w:type="dxa" w:w="148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وفق جدول المهل</w:t>
            </w:r>
          </w:p>
        </w:tc>
        <w:tc>
          <w:tcPr>
            <w:tcW w:type="dxa" w:w="148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لقطة حالة الحساب</w:t>
            </w:r>
          </w:p>
        </w:tc>
      </w:tr>
      <w:tr>
        <w:trPr>
          <w:tblHeader w:val="false"/>
        </w:trPr>
        <w:tc>
          <w:tcPr>
            <w:tcW w:type="dxa" w:w="148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٥</w:t>
            </w:r>
          </w:p>
        </w:tc>
        <w:tc>
          <w:tcPr>
            <w:tcW w:type="dxa" w:w="313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إلغاء وصول مستودعات الكود وخطوط النشر والبيئة السحابية</w:t>
            </w:r>
          </w:p>
        </w:tc>
        <w:tc>
          <w:tcPr>
            <w:tcW w:type="dxa" w:w="176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الهندسة والتطوير</w:t>
            </w:r>
          </w:p>
        </w:tc>
        <w:tc>
          <w:tcPr>
            <w:tcW w:type="dxa" w:w="148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وفق جدول المهل</w:t>
            </w:r>
          </w:p>
        </w:tc>
        <w:tc>
          <w:tcPr>
            <w:tcW w:type="dxa" w:w="148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سجل إلغاء الوصول</w:t>
            </w:r>
          </w:p>
        </w:tc>
      </w:tr>
      <w:tr>
        <w:trPr>
          <w:tblHeader w:val="false"/>
        </w:trPr>
        <w:tc>
          <w:tcPr>
            <w:tcW w:type="dxa" w:w="148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w:t>
            </w:r>
          </w:p>
        </w:tc>
        <w:tc>
          <w:tcPr>
            <w:tcW w:type="dxa" w:w="313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تدوير بيانات اعتماد وأسرار تعامل معها صاحب صلاحيات هامة</w:t>
            </w:r>
          </w:p>
        </w:tc>
        <w:tc>
          <w:tcPr>
            <w:tcW w:type="dxa" w:w="176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العمليات السحابية</w:t>
            </w:r>
          </w:p>
        </w:tc>
        <w:tc>
          <w:tcPr>
            <w:tcW w:type="dxa" w:w="148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خلال ٢٤ ساعة</w:t>
            </w:r>
          </w:p>
        </w:tc>
        <w:tc>
          <w:tcPr>
            <w:tcW w:type="dxa" w:w="148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سجل التدوير</w:t>
            </w:r>
          </w:p>
        </w:tc>
      </w:tr>
      <w:tr>
        <w:trPr>
          <w:tblHeader w:val="false"/>
        </w:trPr>
        <w:tc>
          <w:tcPr>
            <w:tcW w:type="dxa" w:w="148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٧</w:t>
            </w:r>
          </w:p>
        </w:tc>
        <w:tc>
          <w:tcPr>
            <w:tcW w:type="dxa" w:w="313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إلغاء الوصول المادي وسحب بطاقة الدخول</w:t>
            </w:r>
          </w:p>
        </w:tc>
        <w:tc>
          <w:tcPr>
            <w:tcW w:type="dxa" w:w="176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المرافق</w:t>
            </w:r>
          </w:p>
        </w:tc>
        <w:tc>
          <w:tcPr>
            <w:tcW w:type="dxa" w:w="148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آخر يوم عمل</w:t>
            </w:r>
          </w:p>
        </w:tc>
        <w:tc>
          <w:tcPr>
            <w:tcW w:type="dxa" w:w="148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سجل الدخول المادي</w:t>
            </w:r>
          </w:p>
        </w:tc>
      </w:tr>
      <w:tr>
        <w:trPr>
          <w:tblHeader w:val="false"/>
        </w:trPr>
        <w:tc>
          <w:tcPr>
            <w:tcW w:type="dxa" w:w="148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٨</w:t>
            </w:r>
          </w:p>
        </w:tc>
        <w:tc>
          <w:tcPr>
            <w:tcW w:type="dxa" w:w="313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استرجاع الأجهزة والوسائط ومسح بيانات الشركة</w:t>
            </w:r>
          </w:p>
        </w:tc>
        <w:tc>
          <w:tcPr>
            <w:tcW w:type="dxa" w:w="176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الموارد البشرية · الدعم التقني</w:t>
            </w:r>
          </w:p>
        </w:tc>
        <w:tc>
          <w:tcPr>
            <w:tcW w:type="dxa" w:w="148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آخر يوم عمل</w:t>
            </w:r>
          </w:p>
        </w:tc>
        <w:tc>
          <w:tcPr>
            <w:tcW w:type="dxa" w:w="148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نموذج استلام موقّع</w:t>
            </w:r>
          </w:p>
        </w:tc>
      </w:tr>
      <w:tr>
        <w:trPr>
          <w:tblHeader w:val="false"/>
        </w:trPr>
        <w:tc>
          <w:tcPr>
            <w:tcW w:type="dxa" w:w="148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٩</w:t>
            </w:r>
          </w:p>
        </w:tc>
        <w:tc>
          <w:tcPr>
            <w:tcW w:type="dxa" w:w="313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نقل ملكية البيانات والحسابات غير البشرية لمالك جديد</w:t>
            </w:r>
          </w:p>
        </w:tc>
        <w:tc>
          <w:tcPr>
            <w:tcW w:type="dxa" w:w="176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المدير المباشر</w:t>
            </w:r>
          </w:p>
        </w:tc>
        <w:tc>
          <w:tcPr>
            <w:tcW w:type="dxa" w:w="148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 أيام عمل</w:t>
            </w:r>
          </w:p>
        </w:tc>
        <w:tc>
          <w:tcPr>
            <w:tcW w:type="dxa" w:w="148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إقرار نقل الملكية</w:t>
            </w:r>
          </w:p>
        </w:tc>
      </w:tr>
      <w:tr>
        <w:trPr>
          <w:tblHeader w:val="false"/>
        </w:trPr>
        <w:tc>
          <w:tcPr>
            <w:tcW w:type="dxa" w:w="148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w:t>
            </w:r>
          </w:p>
        </w:tc>
        <w:tc>
          <w:tcPr>
            <w:tcW w:type="dxa" w:w="313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تأكيد استمرار سريان التزام السرية بعد انتهاء العلاقة</w:t>
            </w:r>
          </w:p>
        </w:tc>
        <w:tc>
          <w:tcPr>
            <w:tcW w:type="dxa" w:w="176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الشؤون القانونية</w:t>
            </w:r>
          </w:p>
        </w:tc>
        <w:tc>
          <w:tcPr>
            <w:tcW w:type="dxa" w:w="148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آخر يوم عمل</w:t>
            </w:r>
          </w:p>
        </w:tc>
        <w:tc>
          <w:tcPr>
            <w:tcW w:type="dxa" w:w="148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إقرار موقّع</w:t>
            </w:r>
          </w:p>
        </w:tc>
      </w:tr>
      <w:tr>
        <w:trPr>
          <w:tblHeader w:val="false"/>
        </w:trPr>
        <w:tc>
          <w:tcPr>
            <w:tcW w:type="dxa" w:w="148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١١</w:t>
            </w:r>
          </w:p>
        </w:tc>
        <w:tc>
          <w:tcPr>
            <w:tcW w:type="dxa" w:w="313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التحقق النهائي من عدم بقاء أي وصول</w:t>
            </w:r>
          </w:p>
        </w:tc>
        <w:tc>
          <w:tcPr>
            <w:tcW w:type="dxa" w:w="176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 والمخاطر والالتزام</w:t>
            </w:r>
          </w:p>
        </w:tc>
        <w:tc>
          <w:tcPr>
            <w:tcW w:type="dxa" w:w="148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٥ أيام عمل</w:t>
            </w:r>
          </w:p>
        </w:tc>
        <w:tc>
          <w:tcPr>
            <w:tcW w:type="dxa" w:w="148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تقرير تحقق</w:t>
            </w:r>
          </w:p>
        </w:tc>
      </w:tr>
      <w:tr>
        <w:trPr>
          <w:tblHeader w:val="false"/>
        </w:trPr>
        <w:tc>
          <w:tcPr>
            <w:tcW w:type="dxa" w:w="148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١٢</w:t>
            </w:r>
          </w:p>
        </w:tc>
        <w:tc>
          <w:tcPr>
            <w:tcW w:type="dxa" w:w="313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اعتماد نموذج إخلاء الطرف وحفظه</w:t>
            </w:r>
          </w:p>
        </w:tc>
        <w:tc>
          <w:tcPr>
            <w:tcW w:type="dxa" w:w="176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الموارد البشرية</w:t>
            </w:r>
          </w:p>
        </w:tc>
        <w:tc>
          <w:tcPr>
            <w:tcW w:type="dxa" w:w="148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٥ أيام عمل</w:t>
            </w:r>
          </w:p>
        </w:tc>
        <w:tc>
          <w:tcPr>
            <w:tcW w:type="dxa" w:w="148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النموذج المعتمد</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التحقق اللاحق</w:t>
      </w:r>
    </w:p>
    <w:p>
      <w:pPr>
        <w:bidi/>
        <w:spacing w:after="140" w:before="0" w:line="300"/>
        <w:jc w:val="start"/>
      </w:pPr>
      <w:r>
        <w:rPr>
          <w:rFonts w:ascii="Arial" w:cs="Arial" w:eastAsia="Arial" w:hAnsi="Arial"/>
          <w:b w:val="false"/>
          <w:bCs w:val="false"/>
          <w:color w:val="16202A"/>
          <w:sz w:val="21"/>
          <w:szCs w:val="21"/>
          <w:rtl/>
        </w:rPr>
        <w:t xml:space="preserve">تُنفَّذ مطابقة شهرية آلية بين قائمة العاملين النشطين في نظام الموارد البشرية وقائمة الحسابات النشطة في جميع الأنظمة. وأي حساب نشط لا يقابله شخص نشط يُعطَّل فوراً ويُفتح له تحقيق، ويُقيَّد كحدث أمني إذا ثبت استخدامه بعد انتهاء العلاقة.</w:t>
      </w:r>
    </w:p>
    <w:p>
      <w:pPr>
        <w:pStyle w:val="Heading2"/>
        <w:bidi/>
        <w:spacing w:after="120" w:before="280" w:line="300"/>
        <w:jc w:val="start"/>
      </w:pPr>
      <w:r>
        <w:rPr>
          <w:rFonts w:ascii="Arial" w:cs="Arial" w:eastAsia="Arial" w:hAnsi="Arial"/>
          <w:b/>
          <w:bCs/>
          <w:color w:val="15325C"/>
          <w:sz w:val="27"/>
          <w:szCs w:val="27"/>
          <w:rtl/>
        </w:rPr>
        <w:t xml:space="preserve">نموذج إخلاء الطرف التقني</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4056"/>
        <w:gridCol w:w="5304"/>
      </w:tblGrid>
      <w:tr>
        <w:trPr>
          <w:tblHeader/>
        </w:trPr>
        <w:tc>
          <w:tcPr>
            <w:tcW w:type="dxa" w:w="405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البند</w:t>
            </w:r>
          </w:p>
        </w:tc>
        <w:tc>
          <w:tcPr>
            <w:tcW w:type="dxa" w:w="530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البيان</w:t>
            </w:r>
          </w:p>
        </w:tc>
      </w:tr>
      <w:tr>
        <w:trPr>
          <w:tblHeader w:val="false"/>
        </w:trPr>
        <w:tc>
          <w:tcPr>
            <w:tcW w:type="dxa" w:w="405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رقم التذكرة</w:t>
            </w:r>
          </w:p>
        </w:tc>
        <w:tc>
          <w:tcPr>
            <w:tcW w:type="dxa" w:w="530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OFF-1448-00XX</w:t>
            </w:r>
          </w:p>
        </w:tc>
      </w:tr>
      <w:tr>
        <w:trPr>
          <w:tblHeader w:val="false"/>
        </w:trPr>
        <w:tc>
          <w:tcPr>
            <w:tcW w:type="dxa" w:w="405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الاسم والرقم الوظيفي</w:t>
            </w:r>
          </w:p>
        </w:tc>
        <w:tc>
          <w:tcPr>
            <w:tcW w:type="dxa" w:w="530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405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الإدارة والمنصب</w:t>
            </w:r>
          </w:p>
        </w:tc>
        <w:tc>
          <w:tcPr>
            <w:tcW w:type="dxa" w:w="530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405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نوع العلاقة</w:t>
            </w:r>
          </w:p>
        </w:tc>
        <w:tc>
          <w:tcPr>
            <w:tcW w:type="dxa" w:w="530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موظف · متعاقد · مورّد خدمة</w:t>
            </w:r>
          </w:p>
        </w:tc>
      </w:tr>
      <w:tr>
        <w:trPr>
          <w:tblHeader w:val="false"/>
        </w:trPr>
        <w:tc>
          <w:tcPr>
            <w:tcW w:type="dxa" w:w="405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سبب الانتهاء</w:t>
            </w:r>
          </w:p>
        </w:tc>
        <w:tc>
          <w:tcPr>
            <w:tcW w:type="dxa" w:w="530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استقالة · انتهاء عقد · إنهاء · نقل</w:t>
            </w:r>
          </w:p>
        </w:tc>
      </w:tr>
      <w:tr>
        <w:trPr>
          <w:tblHeader w:val="false"/>
        </w:trPr>
        <w:tc>
          <w:tcPr>
            <w:tcW w:type="dxa" w:w="405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تاريخ آخر يوم عمل</w:t>
            </w:r>
          </w:p>
        </w:tc>
        <w:tc>
          <w:tcPr>
            <w:tcW w:type="dxa" w:w="530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405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هل كان صاحب صلاحيات هامة</w:t>
            </w:r>
          </w:p>
        </w:tc>
        <w:tc>
          <w:tcPr>
            <w:tcW w:type="dxa" w:w="530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نعم · لا</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3"/>
        <w:bidi/>
        <w:spacing w:after="90" w:before="200" w:line="300"/>
        <w:jc w:val="start"/>
      </w:pPr>
      <w:r>
        <w:rPr>
          <w:rFonts w:ascii="Arial" w:cs="Arial" w:eastAsia="Arial" w:hAnsi="Arial"/>
          <w:b/>
          <w:bCs/>
          <w:color w:val="0C1F3D"/>
          <w:sz w:val="23"/>
          <w:szCs w:val="23"/>
          <w:rtl/>
        </w:rPr>
        <w:t xml:space="preserve">قائمة التحقق</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1666"/>
        <w:gridCol w:w="2692"/>
        <w:gridCol w:w="1666"/>
        <w:gridCol w:w="1666"/>
        <w:gridCol w:w="1670"/>
      </w:tblGrid>
      <w:tr>
        <w:trPr>
          <w:tblHeader/>
        </w:trPr>
        <w:tc>
          <w:tcPr>
            <w:tcW w:type="dxa" w:w="166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w:t>
            </w:r>
          </w:p>
        </w:tc>
        <w:tc>
          <w:tcPr>
            <w:tcW w:type="dxa" w:w="269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البند</w:t>
            </w:r>
          </w:p>
        </w:tc>
        <w:tc>
          <w:tcPr>
            <w:tcW w:type="dxa" w:w="166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تم</w:t>
            </w:r>
          </w:p>
        </w:tc>
        <w:tc>
          <w:tcPr>
            <w:tcW w:type="dxa" w:w="166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المسؤول</w:t>
            </w:r>
          </w:p>
        </w:tc>
        <w:tc>
          <w:tcPr>
            <w:tcW w:type="dxa" w:w="167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r>
      <w:tr>
        <w:trPr>
          <w:tblHeader w:val="false"/>
        </w:trPr>
        <w:tc>
          <w:tcPr>
            <w:tcW w:type="dxa" w:w="166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w:t>
            </w:r>
          </w:p>
        </w:tc>
        <w:tc>
          <w:tcPr>
            <w:tcW w:type="dxa" w:w="269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تعطيل حساب الدخول الموحد وقطع الجلسات</w:t>
            </w:r>
          </w:p>
        </w:tc>
        <w:tc>
          <w:tcPr>
            <w:tcW w:type="dxa" w:w="166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w:t>
            </w:r>
          </w:p>
        </w:tc>
        <w:tc>
          <w:tcPr>
            <w:tcW w:type="dxa" w:w="166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67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166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w:t>
            </w:r>
          </w:p>
        </w:tc>
        <w:tc>
          <w:tcPr>
            <w:tcW w:type="dxa" w:w="269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تعطيل البريد الإلكتروني ونقل الصلاحيات</w:t>
            </w:r>
          </w:p>
        </w:tc>
        <w:tc>
          <w:tcPr>
            <w:tcW w:type="dxa" w:w="166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w:t>
            </w:r>
          </w:p>
        </w:tc>
        <w:tc>
          <w:tcPr>
            <w:tcW w:type="dxa" w:w="166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67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166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w:t>
            </w:r>
          </w:p>
        </w:tc>
        <w:tc>
          <w:tcPr>
            <w:tcW w:type="dxa" w:w="269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إلغاء وصول مستودعات الكود</w:t>
            </w:r>
          </w:p>
        </w:tc>
        <w:tc>
          <w:tcPr>
            <w:tcW w:type="dxa" w:w="166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w:t>
            </w:r>
          </w:p>
        </w:tc>
        <w:tc>
          <w:tcPr>
            <w:tcW w:type="dxa" w:w="166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67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166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269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إلغاء وصول خطوط البناء والنشر</w:t>
            </w:r>
          </w:p>
        </w:tc>
        <w:tc>
          <w:tcPr>
            <w:tcW w:type="dxa" w:w="166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w:t>
            </w:r>
          </w:p>
        </w:tc>
        <w:tc>
          <w:tcPr>
            <w:tcW w:type="dxa" w:w="166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67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166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٥</w:t>
            </w:r>
          </w:p>
        </w:tc>
        <w:tc>
          <w:tcPr>
            <w:tcW w:type="dxa" w:w="269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إلغاء وصول البيئة السحابية ومنصة الحاويات</w:t>
            </w:r>
          </w:p>
        </w:tc>
        <w:tc>
          <w:tcPr>
            <w:tcW w:type="dxa" w:w="166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w:t>
            </w:r>
          </w:p>
        </w:tc>
        <w:tc>
          <w:tcPr>
            <w:tcW w:type="dxa" w:w="166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67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166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w:t>
            </w:r>
          </w:p>
        </w:tc>
        <w:tc>
          <w:tcPr>
            <w:tcW w:type="dxa" w:w="269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إلغاء وصول قواعد البيانات</w:t>
            </w:r>
          </w:p>
        </w:tc>
        <w:tc>
          <w:tcPr>
            <w:tcW w:type="dxa" w:w="166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w:t>
            </w:r>
          </w:p>
        </w:tc>
        <w:tc>
          <w:tcPr>
            <w:tcW w:type="dxa" w:w="166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67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166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٧</w:t>
            </w:r>
          </w:p>
        </w:tc>
        <w:tc>
          <w:tcPr>
            <w:tcW w:type="dxa" w:w="269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إلغاء الدخول عن بُعد</w:t>
            </w:r>
          </w:p>
        </w:tc>
        <w:tc>
          <w:tcPr>
            <w:tcW w:type="dxa" w:w="166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w:t>
            </w:r>
          </w:p>
        </w:tc>
        <w:tc>
          <w:tcPr>
            <w:tcW w:type="dxa" w:w="166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67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166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٨</w:t>
            </w:r>
          </w:p>
        </w:tc>
        <w:tc>
          <w:tcPr>
            <w:tcW w:type="dxa" w:w="269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تدوير بيانات الاعتماد والأسرار ذات العلاقة</w:t>
            </w:r>
          </w:p>
        </w:tc>
        <w:tc>
          <w:tcPr>
            <w:tcW w:type="dxa" w:w="166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w:t>
            </w:r>
          </w:p>
        </w:tc>
        <w:tc>
          <w:tcPr>
            <w:tcW w:type="dxa" w:w="166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67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166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٩</w:t>
            </w:r>
          </w:p>
        </w:tc>
        <w:tc>
          <w:tcPr>
            <w:tcW w:type="dxa" w:w="269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إلغاء بطاقة الدخول المادي</w:t>
            </w:r>
          </w:p>
        </w:tc>
        <w:tc>
          <w:tcPr>
            <w:tcW w:type="dxa" w:w="166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w:t>
            </w:r>
          </w:p>
        </w:tc>
        <w:tc>
          <w:tcPr>
            <w:tcW w:type="dxa" w:w="166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67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166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w:t>
            </w:r>
          </w:p>
        </w:tc>
        <w:tc>
          <w:tcPr>
            <w:tcW w:type="dxa" w:w="269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استرجاع الأجهزة والوسائط</w:t>
            </w:r>
          </w:p>
        </w:tc>
        <w:tc>
          <w:tcPr>
            <w:tcW w:type="dxa" w:w="166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w:t>
            </w:r>
          </w:p>
        </w:tc>
        <w:tc>
          <w:tcPr>
            <w:tcW w:type="dxa" w:w="166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67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166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١١</w:t>
            </w:r>
          </w:p>
        </w:tc>
        <w:tc>
          <w:tcPr>
            <w:tcW w:type="dxa" w:w="269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نقل ملكية البيانات وحسابات الخدمة</w:t>
            </w:r>
          </w:p>
        </w:tc>
        <w:tc>
          <w:tcPr>
            <w:tcW w:type="dxa" w:w="166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w:t>
            </w:r>
          </w:p>
        </w:tc>
        <w:tc>
          <w:tcPr>
            <w:tcW w:type="dxa" w:w="166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67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166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١٢</w:t>
            </w:r>
          </w:p>
        </w:tc>
        <w:tc>
          <w:tcPr>
            <w:tcW w:type="dxa" w:w="269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إقرار استمرار التزام السرية موقّعاً</w:t>
            </w:r>
          </w:p>
        </w:tc>
        <w:tc>
          <w:tcPr>
            <w:tcW w:type="dxa" w:w="166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w:t>
            </w:r>
          </w:p>
        </w:tc>
        <w:tc>
          <w:tcPr>
            <w:tcW w:type="dxa" w:w="166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67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166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١٣</w:t>
            </w:r>
          </w:p>
        </w:tc>
        <w:tc>
          <w:tcPr>
            <w:tcW w:type="dxa" w:w="269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التحقق النهائي من عدم بقاء أي وصول</w:t>
            </w:r>
          </w:p>
        </w:tc>
        <w:tc>
          <w:tcPr>
            <w:tcW w:type="dxa" w:w="166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w:t>
            </w:r>
          </w:p>
        </w:tc>
        <w:tc>
          <w:tcPr>
            <w:tcW w:type="dxa" w:w="166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67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3"/>
        <w:bidi/>
        <w:spacing w:after="90" w:before="200" w:line="300"/>
        <w:jc w:val="start"/>
      </w:pPr>
      <w:r>
        <w:rPr>
          <w:rFonts w:ascii="Arial" w:cs="Arial" w:eastAsia="Arial" w:hAnsi="Arial"/>
          <w:b/>
          <w:bCs/>
          <w:color w:val="0C1F3D"/>
          <w:sz w:val="23"/>
          <w:szCs w:val="23"/>
          <w:rtl/>
        </w:rPr>
        <w:t xml:space="preserve">الاعتماد</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662"/>
        <w:gridCol w:w="2232"/>
        <w:gridCol w:w="2232"/>
        <w:gridCol w:w="2234"/>
      </w:tblGrid>
      <w:tr>
        <w:trPr>
          <w:tblHeader/>
        </w:trPr>
        <w:tc>
          <w:tcPr>
            <w:tcW w:type="dxa" w:w="266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w:t>
            </w:r>
          </w:p>
        </w:tc>
        <w:tc>
          <w:tcPr>
            <w:tcW w:type="dxa" w:w="223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الاسم</w:t>
            </w:r>
          </w:p>
        </w:tc>
        <w:tc>
          <w:tcPr>
            <w:tcW w:type="dxa" w:w="223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التوقيع</w:t>
            </w:r>
          </w:p>
        </w:tc>
        <w:tc>
          <w:tcPr>
            <w:tcW w:type="dxa" w:w="223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r>
      <w:tr>
        <w:trPr>
          <w:tblHeader w:val="false"/>
        </w:trPr>
        <w:tc>
          <w:tcPr>
            <w:tcW w:type="dxa" w:w="266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المدير المباشر</w:t>
            </w:r>
          </w:p>
        </w:tc>
        <w:tc>
          <w:tcPr>
            <w:tcW w:type="dxa" w:w="223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23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2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266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العمليات السحابية</w:t>
            </w:r>
          </w:p>
        </w:tc>
        <w:tc>
          <w:tcPr>
            <w:tcW w:type="dxa" w:w="223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23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23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266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 والمخاطر والالتزام</w:t>
            </w:r>
          </w:p>
        </w:tc>
        <w:tc>
          <w:tcPr>
            <w:tcW w:type="dxa" w:w="223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23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2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266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الموارد البشرية</w:t>
            </w:r>
          </w:p>
        </w:tc>
        <w:tc>
          <w:tcPr>
            <w:tcW w:type="dxa" w:w="223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23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23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مؤشرات القياس</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6199"/>
        <w:gridCol w:w="3161"/>
      </w:tblGrid>
      <w:tr>
        <w:trPr>
          <w:tblHeader/>
        </w:trPr>
        <w:tc>
          <w:tcPr>
            <w:tcW w:type="dxa" w:w="6199"/>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المؤشر</w:t>
            </w:r>
          </w:p>
        </w:tc>
        <w:tc>
          <w:tcPr>
            <w:tcW w:type="dxa" w:w="316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المستهدف</w:t>
            </w:r>
          </w:p>
        </w:tc>
      </w:tr>
      <w:tr>
        <w:trPr>
          <w:tblHeader w:val="false"/>
        </w:trPr>
        <w:tc>
          <w:tcPr>
            <w:tcW w:type="dxa" w:w="619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نسبة إلغاء الوصول ضمن المهلة الملزِمة</w:t>
            </w:r>
          </w:p>
        </w:tc>
        <w:tc>
          <w:tcPr>
            <w:tcW w:type="dxa" w:w="316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١٠٠٪</w:t>
            </w:r>
          </w:p>
        </w:tc>
      </w:tr>
      <w:tr>
        <w:trPr>
          <w:tblHeader w:val="false"/>
        </w:trPr>
        <w:tc>
          <w:tcPr>
            <w:tcW w:type="dxa" w:w="619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عدد الحسابات النشطة بلا شخص نشط في المطابقة الشهرية</w:t>
            </w:r>
          </w:p>
        </w:tc>
        <w:tc>
          <w:tcPr>
            <w:tcW w:type="dxa" w:w="316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صفر</w:t>
            </w:r>
          </w:p>
        </w:tc>
      </w:tr>
      <w:tr>
        <w:trPr>
          <w:tblHeader w:val="false"/>
        </w:trPr>
        <w:tc>
          <w:tcPr>
            <w:tcW w:type="dxa" w:w="619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متوسط زمن إغلاق تذكرة إخلاء الطرف التقني</w:t>
            </w:r>
          </w:p>
        </w:tc>
        <w:tc>
          <w:tcPr>
            <w:tcW w:type="dxa" w:w="316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٥ أيام عمل</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المراجعة والتحديث</w:t>
      </w:r>
    </w:p>
    <w:p>
      <w:pPr>
        <w:bidi/>
        <w:spacing w:after="140" w:before="0" w:line="300"/>
        <w:jc w:val="start"/>
      </w:pPr>
      <w:r>
        <w:rPr>
          <w:rFonts w:ascii="Arial" w:cs="Arial" w:eastAsia="Arial" w:hAnsi="Arial"/>
          <w:b w:val="false"/>
          <w:bCs w:val="false"/>
          <w:color w:val="16202A"/>
          <w:sz w:val="21"/>
          <w:szCs w:val="21"/>
          <w:rtl/>
        </w:rPr>
        <w:t xml:space="preserve">يُراجَع هذا الإجراء سنوياً على الأقل، وعند تغيّر أنظمة الموارد البشرية أو البيئة التقنية. وتُوثَّق التغييرات وتُعتمد من صاحب الصلاحية.</w:t>
      </w:r>
    </w:p>
    <w:p>
      <w:pPr>
        <w:pStyle w:val="Heading2"/>
        <w:bidi/>
        <w:spacing w:after="120" w:before="280" w:line="300"/>
        <w:jc w:val="start"/>
      </w:pPr>
      <w:r>
        <w:rPr>
          <w:rFonts w:ascii="Arial" w:cs="Arial" w:eastAsia="Arial" w:hAnsi="Arial"/>
          <w:b/>
          <w:bCs/>
          <w:color w:val="15325C"/>
          <w:sz w:val="27"/>
          <w:szCs w:val="27"/>
          <w:rtl/>
        </w:rPr>
        <w:t xml:space="preserve">سجل التغييرات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340"/>
        <w:gridCol w:w="2340"/>
        <w:gridCol w:w="2340"/>
        <w:gridCol w:w="2340"/>
      </w:tblGrid>
      <w:tr>
        <w:trPr>
          <w:tblHeader/>
        </w:trPr>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الإصدار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التغيير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المعتمِد</w:t>
            </w:r>
          </w:p>
        </w:tc>
      </w:tr>
      <w:tr>
        <w:trPr>
          <w:tblHeader w:val="false"/>
        </w:trPr>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 ربيع الأول ١٤٤٨هـ</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الإصدار الأول</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الرئيس التنفيذي</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الاعتماد</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045"/>
        <w:gridCol w:w="3224"/>
        <w:gridCol w:w="2045"/>
        <w:gridCol w:w="2046"/>
      </w:tblGrid>
      <w:tr>
        <w:trPr>
          <w:tblHeader/>
        </w:trPr>
        <w:tc>
          <w:tcPr>
            <w:tcW w:type="dxa" w:w="204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w:t>
            </w:r>
          </w:p>
        </w:tc>
        <w:tc>
          <w:tcPr>
            <w:tcW w:type="dxa" w:w="322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الاسم</w:t>
            </w:r>
          </w:p>
        </w:tc>
        <w:tc>
          <w:tcPr>
            <w:tcW w:type="dxa" w:w="204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التوقيع</w:t>
            </w:r>
          </w:p>
        </w:tc>
        <w:tc>
          <w:tcPr>
            <w:tcW w:type="dxa" w:w="204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r>
      <w:tr>
        <w:trPr>
          <w:tblHeader w:val="false"/>
        </w:trPr>
        <w:tc>
          <w:tcPr>
            <w:tcW w:type="dxa" w:w="20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أُعدّ بواسطة</w:t>
            </w:r>
          </w:p>
        </w:tc>
        <w:tc>
          <w:tcPr>
            <w:tcW w:type="dxa" w:w="322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الموارد البشرية · إدارة العمليات السحابية</w:t>
            </w:r>
          </w:p>
        </w:tc>
        <w:tc>
          <w:tcPr>
            <w:tcW w:type="dxa" w:w="20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04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20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رُوجع بواسطة</w:t>
            </w:r>
          </w:p>
        </w:tc>
        <w:tc>
          <w:tcPr>
            <w:tcW w:type="dxa" w:w="322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 ريم الشهري — رئيس الأمن السيبراني</w:t>
            </w:r>
          </w:p>
        </w:tc>
        <w:tc>
          <w:tcPr>
            <w:tcW w:type="dxa" w:w="20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04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20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اعتُمد بواسطة</w:t>
            </w:r>
          </w:p>
        </w:tc>
        <w:tc>
          <w:tcPr>
            <w:tcW w:type="dxa" w:w="322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 بدر العتيبي — الرئيس التنفيذي</w:t>
            </w:r>
          </w:p>
        </w:tc>
        <w:tc>
          <w:tcPr>
            <w:tcW w:type="dxa" w:w="20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04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تنويه</w:t>
      </w:r>
    </w:p>
    <w:p>
      <w:pPr>
        <w:bidi/>
        <w:spacing w:after="140" w:before="0" w:line="300"/>
        <w:jc w:val="start"/>
      </w:pPr>
      <w:r>
        <w:rPr>
          <w:rFonts w:ascii="Arial" w:cs="Arial" w:eastAsia="Arial" w:hAnsi="Arial"/>
          <w:b w:val="false"/>
          <w:bCs w:val="false"/>
          <w:color w:val="16202A"/>
          <w:sz w:val="21"/>
          <w:szCs w:val="21"/>
          <w:rtl/>
        </w:rPr>
        <w:t xml:space="preserve">شركة نَسَق وجميع البيانات والأسماء والأرقام الواردة في هذه الوثيقة افتراضية، وأُعدّت لأغراض التدريب على تطبيق الضوابط الأساسية للأمن السيبراني.</w:t>
      </w:r>
    </w:p>
    <w:sectPr>
      <w:headerReference w:type="default" r:id="rId9"/>
      <w:footerReference w:type="default" r:id="rId10"/>
      <w:pgSz w:w="11906" w:h="16838"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CS-PRO-003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CS-PRO-003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E3" w:sz="2" w:space="6"/>
      </w:pBdr>
      <w:bidi/>
      <w:jc w:val="start"/>
    </w:pPr>
    <w:r>
      <w:rPr>
        <w:rFonts w:ascii="Arial" w:cs="Arial" w:eastAsia="Arial" w:hAnsi="Arial"/>
        <w:b/>
        <w:bCs/>
        <w:color w:val="15325C"/>
        <w:sz w:val="16"/>
        <w:szCs w:val="16"/>
        <w:rtl/>
      </w:rPr>
      <w:t xml:space="preserve">شركة نَسَق للحلول الرقمية — إدارة الأمن السيبراني</w:t>
    </w:r>
    <w:r>
      <w:rPr>
        <w:rFonts w:ascii="Arial" w:cs="Arial" w:eastAsia="Arial" w:hAnsi="Arial"/>
        <w:color w:val="5A6672"/>
        <w:sz w:val="16"/>
        <w:szCs w:val="16"/>
      </w:rPr>
      <w:t xml:space="preserve">	CS-PRO-003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2026-10-04T11:47:59.534Z</dcterms:created>
  <dcterms:modified xsi:type="dcterms:W3CDTF">2026-10-04T11:47:59.534Z</dcterms:modified>
</cp:coreProperties>
</file>

<file path=docProps/custom.xml><?xml version="1.0" encoding="utf-8"?>
<Properties xmlns="http://schemas.openxmlformats.org/officeDocument/2006/custom-properties" xmlns:vt="http://schemas.openxmlformats.org/officeDocument/2006/docPropsVTypes"/>
</file>