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E300D" w:rsidRDefault="003C16FC">
      <w:pPr>
        <w:pStyle w:val="Title"/>
        <w:jc w:val="center"/>
      </w:pPr>
      <w:r>
        <w:t>Parking System Refactor &amp; EV Charging: DDD Microservices Architecture</w:t>
      </w:r>
    </w:p>
    <w:p w:rsidR="005E300D" w:rsidRDefault="003C16FC">
      <w:pPr>
        <w:jc w:val="center"/>
      </w:pPr>
      <w:r>
        <w:t>Final Submission — Design, DDD, and Microservices Proposal</w:t>
      </w:r>
    </w:p>
    <w:p w:rsidR="005E300D" w:rsidRDefault="003C16FC">
      <w:pPr>
        <w:jc w:val="center"/>
      </w:pPr>
      <w:r>
        <w:t>Date: 2025-11-01</w:t>
      </w:r>
    </w:p>
    <w:p w:rsidR="005E300D" w:rsidRDefault="003C16FC">
      <w:r>
        <w:br w:type="page"/>
      </w:r>
    </w:p>
    <w:p w:rsidR="005E300D" w:rsidRDefault="003C16FC">
      <w:pPr>
        <w:pStyle w:val="Heading1"/>
      </w:pPr>
      <w:r>
        <w:lastRenderedPageBreak/>
        <w:t>1. Introduction</w:t>
      </w:r>
    </w:p>
    <w:p w:rsidR="005E300D" w:rsidRDefault="003C16FC">
      <w:r>
        <w:t xml:space="preserve">This document presents the refactoring approach and the proposed domain-driven </w:t>
      </w:r>
      <w:r>
        <w:t>microservices architecture for the Parking System extended with EV Charging. It includes original and redesigned UML diagrams, DDD modeling, microservices with per-service databases, explicit APIs and events, and a demo video link.</w:t>
      </w:r>
    </w:p>
    <w:p w:rsidR="005E300D" w:rsidRDefault="003C16FC">
      <w:pPr>
        <w:pStyle w:val="Heading1"/>
      </w:pPr>
      <w:r>
        <w:t>2. Original Design (Befo</w:t>
      </w:r>
      <w:r>
        <w:t>re Refactor)</w:t>
      </w:r>
    </w:p>
    <w:p w:rsidR="005E300D" w:rsidRDefault="003C16FC">
      <w:r>
        <w:t>The original codebase exhibited tight coupling between UI and core domain logic, duplicated vehicle types, and global state patterns that hindered extension for EV charging. The following UML pair documents the baseline structure and behavior.</w:t>
      </w:r>
    </w:p>
    <w:p w:rsidR="005E300D" w:rsidRDefault="003C16FC">
      <w:pPr>
        <w:pStyle w:val="Heading2"/>
      </w:pPr>
      <w:r>
        <w:t>2.1 Original – Structural (Class Diagram)</w:t>
      </w:r>
    </w:p>
    <w:p w:rsidR="005E300D" w:rsidRDefault="003C16FC">
      <w:pPr>
        <w:pStyle w:val="Placeholder"/>
      </w:pPr>
      <w:r>
        <w:t xml:space="preserve">INSERT IMAGE HERE → </w:t>
      </w:r>
    </w:p>
    <w:p w:rsidR="005E300D" w:rsidRDefault="003C16FC">
      <w:r>
        <w:t>Caption: Figure 1. Original class diagram showing coupling between interface and ParkingLot, duplication in Vehicle hierarchy, and lack of clear aggregate boundaries.</w:t>
      </w:r>
    </w:p>
    <w:p w:rsidR="005E300D" w:rsidRDefault="003C16FC">
      <w:pPr>
        <w:pStyle w:val="Heading2"/>
      </w:pPr>
      <w:r>
        <w:t>2.2 Original – Behavioral</w:t>
      </w:r>
      <w:r>
        <w:t xml:space="preserve"> (Activity/Sequence)</w:t>
      </w:r>
    </w:p>
    <w:p w:rsidR="005E300D" w:rsidRDefault="003C16FC">
      <w:pPr>
        <w:pStyle w:val="Placeholder"/>
      </w:pPr>
      <w:r>
        <w:t xml:space="preserve">INSERT IMAGE HERE → </w:t>
      </w:r>
    </w:p>
    <w:p w:rsidR="005E300D" w:rsidRDefault="003C16FC">
      <w:r>
        <w:t>Caption: Figure 2. Original behavioral diagram (e.g., 'park vehicle') where UI directly manipulates model objects without clear service boundaries.</w:t>
      </w:r>
    </w:p>
    <w:p w:rsidR="005E300D" w:rsidRDefault="003C16FC">
      <w:pPr>
        <w:pStyle w:val="Heading1"/>
      </w:pPr>
      <w:r>
        <w:t>3. Redesigned Overview (After Refactor)</w:t>
      </w:r>
    </w:p>
    <w:p w:rsidR="005E300D" w:rsidRDefault="003C16FC">
      <w:r>
        <w:t>The redesign applies objec</w:t>
      </w:r>
      <w:r>
        <w:t>t-oriented patterns to decouple concerns and introduce extensibility for EV charging. Key improvements include the Factory pattern for vehicle creation, Strategy for policy-based pricing/selection, and elimination of anti-patterns.</w:t>
      </w:r>
    </w:p>
    <w:p w:rsidR="005E300D" w:rsidRDefault="003C16FC">
      <w:pPr>
        <w:pStyle w:val="Heading2"/>
      </w:pPr>
      <w:r>
        <w:t>3.1 Redesigned – Structu</w:t>
      </w:r>
      <w:r>
        <w:t>ral (Class Diagram)</w:t>
      </w:r>
    </w:p>
    <w:p w:rsidR="005E300D" w:rsidRDefault="003C16FC">
      <w:pPr>
        <w:pStyle w:val="Placeholder"/>
      </w:pPr>
      <w:r>
        <w:t xml:space="preserve">INSERT IMAGE HERE → </w:t>
      </w:r>
    </w:p>
    <w:p w:rsidR="005E300D" w:rsidRDefault="003C16FC">
      <w:r>
        <w:t>Caption: Figure 3. Redesigned class diagram with clearer domain model, unified Vehicle abstraction, and presenters/controllers separated from domain services.</w:t>
      </w:r>
    </w:p>
    <w:p w:rsidR="005E300D" w:rsidRDefault="003C16FC">
      <w:pPr>
        <w:pStyle w:val="Heading2"/>
      </w:pPr>
      <w:r>
        <w:t>3.2 Redesigned – Behavioral (Activity/Sequence)</w:t>
      </w:r>
    </w:p>
    <w:p w:rsidR="005E300D" w:rsidRDefault="003C16FC">
      <w:pPr>
        <w:pStyle w:val="Placeholder"/>
      </w:pPr>
      <w:r>
        <w:t>INSERT I</w:t>
      </w:r>
      <w:r>
        <w:t xml:space="preserve">MAGE HERE → </w:t>
      </w:r>
    </w:p>
    <w:p w:rsidR="005E300D" w:rsidRDefault="003C16FC">
      <w:r>
        <w:t>Caption: Figure 4. Redesigned behavior for the 'park vehicle' flow demonstrating decoupled presentation and domain interactions via services.</w:t>
      </w:r>
    </w:p>
    <w:p w:rsidR="005E300D" w:rsidRDefault="003C16FC">
      <w:pPr>
        <w:pStyle w:val="Heading1"/>
      </w:pPr>
      <w:r>
        <w:lastRenderedPageBreak/>
        <w:t>4. Domain-Driven Design (DDD)</w:t>
      </w:r>
    </w:p>
    <w:p w:rsidR="005E300D" w:rsidRDefault="003C16FC">
      <w:r>
        <w:t>We define bounded contexts that map directly to microservices. Each con</w:t>
      </w:r>
      <w:r>
        <w:t>text has its own ubiquitous language, entities, value objects, and aggregates; integration is event-driven, minimizing direct coupling.</w:t>
      </w:r>
    </w:p>
    <w:p w:rsidR="005E300D" w:rsidRDefault="003C16FC">
      <w:pPr>
        <w:pStyle w:val="Heading2"/>
      </w:pPr>
      <w:r>
        <w:t>4.1 Bounded Contexts &amp; Ubiquitous Language</w:t>
      </w:r>
    </w:p>
    <w:p w:rsidR="005E300D" w:rsidRDefault="003C16FC">
      <w:r>
        <w:rPr>
          <w:noProof/>
        </w:rPr>
        <w:drawing>
          <wp:inline distT="0" distB="0" distL="0" distR="0">
            <wp:extent cx="5486400" cy="238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
                      <a:extLst>
                        <a:ext uri="{28A0092B-C50C-407E-A947-70E740481C1C}">
                          <a14:useLocalDpi xmlns:a14="http://schemas.microsoft.com/office/drawing/2010/main" val="0"/>
                        </a:ext>
                      </a:extLst>
                    </a:blip>
                    <a:srcRect b="28788"/>
                    <a:stretch/>
                  </pic:blipFill>
                  <pic:spPr bwMode="auto">
                    <a:xfrm>
                      <a:off x="0" y="0"/>
                      <a:ext cx="5486400" cy="2387600"/>
                    </a:xfrm>
                    <a:prstGeom prst="rect">
                      <a:avLst/>
                    </a:prstGeom>
                    <a:noFill/>
                    <a:ln>
                      <a:noFill/>
                    </a:ln>
                    <a:extLst>
                      <a:ext uri="{53640926-AAD7-44D8-BBD7-CCE9431645EC}">
                        <a14:shadowObscured xmlns:a14="http://schemas.microsoft.com/office/drawing/2010/main"/>
                      </a:ext>
                    </a:extLst>
                  </pic:spPr>
                </pic:pic>
              </a:graphicData>
            </a:graphic>
          </wp:inline>
        </w:drawing>
      </w:r>
      <w:r>
        <w:t>Caption: Figure 5. Bounded-context dia</w:t>
      </w:r>
      <w:r>
        <w:t>gram: Parking, Reservation, EV Charging, Billing/Payment, Identity/Auth, Notification.</w:t>
      </w:r>
    </w:p>
    <w:p w:rsidR="005E300D" w:rsidRDefault="003C16FC">
      <w:r>
        <w:t>Sample ubiquitous language per context:</w:t>
      </w:r>
    </w:p>
    <w:p w:rsidR="005E300D" w:rsidRDefault="003C16FC">
      <w:r>
        <w:rPr>
          <w:b/>
        </w:rPr>
        <w:t xml:space="preserve">• Parking: </w:t>
      </w:r>
      <w:r>
        <w:t>spot, occupancy, meter, check-in, check-out</w:t>
      </w:r>
    </w:p>
    <w:p w:rsidR="005E300D" w:rsidRDefault="003C16FC" w:rsidP="003C16FC">
      <w:r>
        <w:rPr>
          <w:b/>
        </w:rPr>
        <w:t xml:space="preserve">• Reservation: </w:t>
      </w:r>
      <w:r>
        <w:t>hold, booking, expiration, reservationId</w:t>
      </w:r>
      <w:bookmarkStart w:id="0" w:name="_GoBack"/>
      <w:bookmarkEnd w:id="0"/>
    </w:p>
    <w:p w:rsidR="005E300D" w:rsidRDefault="003C16FC">
      <w:r>
        <w:rPr>
          <w:b/>
        </w:rPr>
        <w:t xml:space="preserve">• EV Charging: </w:t>
      </w:r>
      <w:r>
        <w:t>connector, session, kWh, tariff, meterStart/meterStop</w:t>
      </w:r>
    </w:p>
    <w:p w:rsidR="005E300D" w:rsidRDefault="003C16FC">
      <w:r>
        <w:rPr>
          <w:b/>
        </w:rPr>
        <w:t xml:space="preserve">• Billing/Payment: </w:t>
      </w:r>
      <w:r>
        <w:t>preauthorization, capture, receipt, refund</w:t>
      </w:r>
    </w:p>
    <w:p w:rsidR="005E300D" w:rsidRDefault="003C16FC">
      <w:r>
        <w:rPr>
          <w:b/>
        </w:rPr>
        <w:t xml:space="preserve">• Identity/Auth: </w:t>
      </w:r>
      <w:r>
        <w:t>token, claim, identity provider (IdP)</w:t>
      </w:r>
    </w:p>
    <w:p w:rsidR="005E300D" w:rsidRDefault="003C16FC">
      <w:r>
        <w:rPr>
          <w:b/>
        </w:rPr>
        <w:t xml:space="preserve">• Notification: </w:t>
      </w:r>
      <w:r>
        <w:t>template, channel, delivery, retry</w:t>
      </w:r>
    </w:p>
    <w:p w:rsidR="005E300D" w:rsidRDefault="003C16FC">
      <w:pPr>
        <w:pStyle w:val="Heading2"/>
      </w:pPr>
      <w:r>
        <w:t>4.2 Entities, Value Objects, Aggre</w:t>
      </w:r>
      <w:r>
        <w:t>gates</w:t>
      </w:r>
    </w:p>
    <w:p w:rsidR="005E300D" w:rsidRDefault="003C16FC">
      <w:r>
        <w:t>Examples: Parking has aggregate root ParkingLot with Spots (entity) and MeteringConfig (value object). Reservation has Reservation aggregate with policies as value objects. EV Charging has ChargeSession aggregate with immutable MeterReadings (value o</w:t>
      </w:r>
      <w:r>
        <w:t>bjects). Billing has PaymentIntent and Receipt aggregates.</w:t>
      </w:r>
    </w:p>
    <w:p w:rsidR="005E300D" w:rsidRDefault="003C16FC">
      <w:pPr>
        <w:pStyle w:val="Heading1"/>
      </w:pPr>
      <w:r>
        <w:lastRenderedPageBreak/>
        <w:t>5. Microservices Architecture</w:t>
      </w:r>
    </w:p>
    <w:p w:rsidR="005E300D" w:rsidRDefault="003C16FC">
      <w:r>
        <w:t>Clients access services through an API Gateway/BFF. Services communicate synchronously via REST/gRPC and asynchronously through a message bus. Each service owns an iso</w:t>
      </w:r>
      <w:r>
        <w:t>lated database; no cross-service writes. External integrations include a payment provider, an external IdP, and physical EV chargers via a device adapter.</w:t>
      </w:r>
    </w:p>
    <w:p w:rsidR="003C16FC" w:rsidRDefault="003C16FC"/>
    <w:p w:rsidR="003C16FC" w:rsidRDefault="003C16FC"/>
    <w:p w:rsidR="003C16FC" w:rsidRDefault="003C16FC"/>
    <w:p w:rsidR="003C16FC" w:rsidRDefault="003C16FC"/>
    <w:p w:rsidR="005E300D" w:rsidRDefault="003C16FC">
      <w:pPr>
        <w:pStyle w:val="Heading2"/>
      </w:pPr>
      <w:r>
        <w:t>5.1 High-level Architecture Diagram</w:t>
      </w:r>
    </w:p>
    <w:p w:rsidR="005E300D" w:rsidRDefault="003C16FC">
      <w:pPr>
        <w:jc w:val="center"/>
      </w:pPr>
      <w:r>
        <w:rPr>
          <w:noProof/>
        </w:rPr>
        <w:drawing>
          <wp:inline distT="0" distB="0" distL="0" distR="0">
            <wp:extent cx="5486400" cy="3352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352800"/>
                    </a:xfrm>
                    <a:prstGeom prst="rect">
                      <a:avLst/>
                    </a:prstGeom>
                    <a:noFill/>
                    <a:ln>
                      <a:noFill/>
                    </a:ln>
                  </pic:spPr>
                </pic:pic>
              </a:graphicData>
            </a:graphic>
          </wp:inline>
        </w:drawing>
      </w:r>
      <w:r>
        <w:t>Figure 6. High-leve</w:t>
      </w:r>
      <w:r>
        <w:t>l microservices architecture with per-service databases and event bus.</w:t>
      </w:r>
    </w:p>
    <w:p w:rsidR="005E300D" w:rsidRDefault="003C16FC">
      <w:pPr>
        <w:pStyle w:val="Heading2"/>
      </w:pPr>
      <w:r>
        <w:t>5.2 Service APIs &amp; Events</w:t>
      </w:r>
    </w:p>
    <w:p w:rsidR="005E300D" w:rsidRDefault="003C16FC">
      <w:r>
        <w:t>Representative external API surface exposed via the API Gateway, and domain events for async workflows.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3239"/>
        <w:gridCol w:w="2852"/>
      </w:tblGrid>
      <w:tr w:rsidR="005E300D" w:rsidTr="003C16FC">
        <w:tc>
          <w:tcPr>
            <w:tcW w:w="2880" w:type="dxa"/>
          </w:tcPr>
          <w:p w:rsidR="005E300D" w:rsidRPr="003C16FC" w:rsidRDefault="003C16FC">
            <w:pPr>
              <w:rPr>
                <w:b/>
                <w:bCs/>
              </w:rPr>
            </w:pPr>
            <w:r w:rsidRPr="003C16FC">
              <w:rPr>
                <w:b/>
                <w:bCs/>
              </w:rPr>
              <w:t>Service</w:t>
            </w:r>
          </w:p>
        </w:tc>
        <w:tc>
          <w:tcPr>
            <w:tcW w:w="2880" w:type="dxa"/>
          </w:tcPr>
          <w:p w:rsidR="005E300D" w:rsidRPr="003C16FC" w:rsidRDefault="003C16FC">
            <w:pPr>
              <w:rPr>
                <w:b/>
                <w:bCs/>
              </w:rPr>
            </w:pPr>
            <w:r w:rsidRPr="003C16FC">
              <w:rPr>
                <w:b/>
                <w:bCs/>
              </w:rPr>
              <w:t>REST APIs (representative)</w:t>
            </w:r>
          </w:p>
        </w:tc>
        <w:tc>
          <w:tcPr>
            <w:tcW w:w="2880" w:type="dxa"/>
          </w:tcPr>
          <w:p w:rsidR="005E300D" w:rsidRPr="003C16FC" w:rsidRDefault="003C16FC">
            <w:pPr>
              <w:rPr>
                <w:b/>
                <w:bCs/>
              </w:rPr>
            </w:pPr>
            <w:r w:rsidRPr="003C16FC">
              <w:rPr>
                <w:b/>
                <w:bCs/>
              </w:rPr>
              <w:t>Domain Events (pub/s</w:t>
            </w:r>
            <w:r w:rsidRPr="003C16FC">
              <w:rPr>
                <w:b/>
                <w:bCs/>
              </w:rPr>
              <w:t>ub)</w:t>
            </w:r>
          </w:p>
        </w:tc>
      </w:tr>
      <w:tr w:rsidR="005E300D" w:rsidTr="003C16FC">
        <w:tc>
          <w:tcPr>
            <w:tcW w:w="2880" w:type="dxa"/>
          </w:tcPr>
          <w:p w:rsidR="005E300D" w:rsidRDefault="003C16FC">
            <w:r>
              <w:t>EV Charging</w:t>
            </w:r>
          </w:p>
        </w:tc>
        <w:tc>
          <w:tcPr>
            <w:tcW w:w="2880" w:type="dxa"/>
          </w:tcPr>
          <w:p w:rsidR="005E300D" w:rsidRDefault="003C16FC">
            <w:r>
              <w:t>POST /sessions; POST /sessions/{id}/stop; GET /sessions/{id}</w:t>
            </w:r>
          </w:p>
        </w:tc>
        <w:tc>
          <w:tcPr>
            <w:tcW w:w="2880" w:type="dxa"/>
          </w:tcPr>
          <w:p w:rsidR="005E300D" w:rsidRDefault="003C16FC">
            <w:r>
              <w:t>ChargeSessionStarted; ChargeMeterUpdate; ChargeSessionCompleted</w:t>
            </w:r>
          </w:p>
        </w:tc>
      </w:tr>
      <w:tr w:rsidR="005E300D" w:rsidTr="003C16FC">
        <w:tc>
          <w:tcPr>
            <w:tcW w:w="2880" w:type="dxa"/>
          </w:tcPr>
          <w:p w:rsidR="005E300D" w:rsidRDefault="003C16FC">
            <w:r>
              <w:lastRenderedPageBreak/>
              <w:t>Parking</w:t>
            </w:r>
          </w:p>
        </w:tc>
        <w:tc>
          <w:tcPr>
            <w:tcW w:w="2880" w:type="dxa"/>
          </w:tcPr>
          <w:p w:rsidR="005E300D" w:rsidRDefault="003C16FC">
            <w:r>
              <w:t>GET /spots/{id}; PATCH /spots/{id}</w:t>
            </w:r>
          </w:p>
        </w:tc>
        <w:tc>
          <w:tcPr>
            <w:tcW w:w="2880" w:type="dxa"/>
          </w:tcPr>
          <w:p w:rsidR="005E300D" w:rsidRDefault="003C16FC">
            <w:r>
              <w:t>ParkingSpotReserved; VehicleCheckedIn; VehicleCheckedOut</w:t>
            </w:r>
          </w:p>
        </w:tc>
      </w:tr>
      <w:tr w:rsidR="005E300D" w:rsidTr="003C16FC">
        <w:tc>
          <w:tcPr>
            <w:tcW w:w="2880" w:type="dxa"/>
          </w:tcPr>
          <w:p w:rsidR="005E300D" w:rsidRDefault="003C16FC">
            <w:r>
              <w:t>Reservation</w:t>
            </w:r>
          </w:p>
        </w:tc>
        <w:tc>
          <w:tcPr>
            <w:tcW w:w="2880" w:type="dxa"/>
          </w:tcPr>
          <w:p w:rsidR="005E300D" w:rsidRDefault="003C16FC">
            <w:r>
              <w:t>POST /reservations; GET /reservations?vehicleId=&amp;spotId=</w:t>
            </w:r>
          </w:p>
        </w:tc>
        <w:tc>
          <w:tcPr>
            <w:tcW w:w="2880" w:type="dxa"/>
          </w:tcPr>
          <w:p w:rsidR="005E300D" w:rsidRDefault="003C16FC">
            <w:r>
              <w:t>ReservationCreated; ReservationExpired; ReservationCancelled</w:t>
            </w:r>
          </w:p>
        </w:tc>
      </w:tr>
      <w:tr w:rsidR="005E300D" w:rsidTr="003C16FC">
        <w:tc>
          <w:tcPr>
            <w:tcW w:w="2880" w:type="dxa"/>
          </w:tcPr>
          <w:p w:rsidR="005E300D" w:rsidRDefault="003C16FC">
            <w:r>
              <w:t>Billing / Payment</w:t>
            </w:r>
          </w:p>
        </w:tc>
        <w:tc>
          <w:tcPr>
            <w:tcW w:w="2880" w:type="dxa"/>
          </w:tcPr>
          <w:p w:rsidR="005E300D" w:rsidRDefault="003C16FC">
            <w:r>
              <w:t>POST /payments/preauth; POST /payments/capture; GET /receipts/{id}</w:t>
            </w:r>
          </w:p>
        </w:tc>
        <w:tc>
          <w:tcPr>
            <w:tcW w:w="2880" w:type="dxa"/>
          </w:tcPr>
          <w:p w:rsidR="005E300D" w:rsidRDefault="003C16FC">
            <w:r>
              <w:t>PaymentCaptured; RefundIssued</w:t>
            </w:r>
          </w:p>
        </w:tc>
      </w:tr>
      <w:tr w:rsidR="005E300D" w:rsidTr="003C16FC">
        <w:tc>
          <w:tcPr>
            <w:tcW w:w="2880" w:type="dxa"/>
          </w:tcPr>
          <w:p w:rsidR="005E300D" w:rsidRDefault="003C16FC">
            <w:r>
              <w:t>Notification</w:t>
            </w:r>
          </w:p>
        </w:tc>
        <w:tc>
          <w:tcPr>
            <w:tcW w:w="2880" w:type="dxa"/>
          </w:tcPr>
          <w:p w:rsidR="005E300D" w:rsidRDefault="003C16FC">
            <w:r>
              <w:t>POST /no</w:t>
            </w:r>
            <w:r>
              <w:t>tify (internal trigger)</w:t>
            </w:r>
          </w:p>
        </w:tc>
        <w:tc>
          <w:tcPr>
            <w:tcW w:w="2880" w:type="dxa"/>
          </w:tcPr>
          <w:p w:rsidR="005E300D" w:rsidRDefault="003C16FC">
            <w:r>
              <w:t>Subscribes to completion/lifecycle events</w:t>
            </w:r>
          </w:p>
        </w:tc>
      </w:tr>
      <w:tr w:rsidR="005E300D" w:rsidTr="003C16FC">
        <w:tc>
          <w:tcPr>
            <w:tcW w:w="2880" w:type="dxa"/>
          </w:tcPr>
          <w:p w:rsidR="005E300D" w:rsidRDefault="003C16FC">
            <w:r>
              <w:t>Identity / Auth</w:t>
            </w:r>
          </w:p>
        </w:tc>
        <w:tc>
          <w:tcPr>
            <w:tcW w:w="2880" w:type="dxa"/>
          </w:tcPr>
          <w:p w:rsidR="005E300D" w:rsidRDefault="003C16FC">
            <w:r>
              <w:t>POST /auth/login; GET /auth/me (behind Gateway)</w:t>
            </w:r>
          </w:p>
        </w:tc>
        <w:tc>
          <w:tcPr>
            <w:tcW w:w="2880" w:type="dxa"/>
          </w:tcPr>
          <w:p w:rsidR="005E300D" w:rsidRDefault="003C16FC">
            <w:r>
              <w:t>—</w:t>
            </w:r>
          </w:p>
        </w:tc>
      </w:tr>
    </w:tbl>
    <w:p w:rsidR="005E300D" w:rsidRDefault="003C16FC">
      <w:pPr>
        <w:pStyle w:val="Heading2"/>
      </w:pPr>
      <w:r>
        <w:t>5.3 Per-Service Data Ownership</w:t>
      </w:r>
    </w:p>
    <w:p w:rsidR="005E300D" w:rsidRDefault="003C16FC">
      <w:r>
        <w:t xml:space="preserve">Parking → Parking DB; Reservation → Reservation DB; EV Charging → Charging DB (time-series </w:t>
      </w:r>
      <w:r>
        <w:t>capable); Billing/Payment → Billing DB; Identity/Auth → Auth DB; Notification → Notifications DB; Device Adapter → Telemetry DB. No shared schemas; cross-context projections use events and dedicated read models.</w:t>
      </w:r>
    </w:p>
    <w:p w:rsidR="005E300D" w:rsidRDefault="003C16FC">
      <w:pPr>
        <w:pStyle w:val="Heading2"/>
      </w:pPr>
      <w:r>
        <w:lastRenderedPageBreak/>
        <w:t>5.4 Key Flows — EV Charging (Happy Path) Dia</w:t>
      </w:r>
      <w:r>
        <w:t>gram</w:t>
      </w:r>
    </w:p>
    <w:p w:rsidR="005E300D" w:rsidRDefault="003C16FC">
      <w:pPr>
        <w:jc w:val="center"/>
      </w:pPr>
      <w:r>
        <w:rPr>
          <w:noProof/>
        </w:rPr>
        <w:drawing>
          <wp:inline distT="0" distB="0" distL="0" distR="0">
            <wp:extent cx="54864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r>
        <w:t>Figure 7. Sequence showing session start, metering, stop, and payment capture with event publication.</w:t>
      </w:r>
    </w:p>
    <w:p w:rsidR="005E300D" w:rsidRDefault="003C16FC">
      <w:pPr>
        <w:pStyle w:val="Heading1"/>
      </w:pPr>
      <w:r>
        <w:t>6. Demo Video (Link)</w:t>
      </w:r>
    </w:p>
    <w:p w:rsidR="005E300D" w:rsidRDefault="003C16FC">
      <w:pPr>
        <w:pStyle w:val="Placeholder"/>
      </w:pPr>
      <w:r>
        <w:t xml:space="preserve">INSERT VIDEO LINK HERE → </w:t>
      </w:r>
    </w:p>
    <w:p w:rsidR="005E300D" w:rsidRDefault="003C16FC">
      <w:pPr>
        <w:pStyle w:val="Heading1"/>
      </w:pPr>
      <w:r>
        <w:t>7. Assumptions &amp; Trade-offs</w:t>
      </w:r>
    </w:p>
    <w:p w:rsidR="005E300D" w:rsidRDefault="003C16FC" w:rsidP="003C16FC">
      <w:r>
        <w:t>•</w:t>
      </w:r>
      <w:r>
        <w:t xml:space="preserve"> OCPP/WebSocket integration is modeled via a Device Adapter service and simulated in local e</w:t>
      </w:r>
      <w:r>
        <w:t>nvironments.</w:t>
      </w:r>
      <w:r>
        <w:br/>
        <w:t>• Payments use provider tokens; the system stores only non-PCI metadata.</w:t>
      </w:r>
      <w:r>
        <w:br/>
        <w:t>• Eventual consistency is acceptable for non-critical read models (e.g., notifications).</w:t>
      </w:r>
    </w:p>
    <w:sectPr w:rsidR="005E30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16FC"/>
    <w:rsid w:val="005E300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AD3F9B"/>
  <w14:defaultImageDpi w14:val="300"/>
  <w15:docId w15:val="{0C6C2CE5-8196-4D10-8D41-A9ACF1D03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ceholder">
    <w:name w:val="Placeholder"/>
    <w:rPr>
      <w:rFonts w:ascii="Calibri" w:hAnsi="Calibri"/>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EF0388-5CD2-47F0-AD11-216EFED205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779</Words>
  <Characters>4441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Khaled Galal</cp:lastModifiedBy>
  <cp:revision>2</cp:revision>
  <dcterms:created xsi:type="dcterms:W3CDTF">2013-12-23T23:15:00Z</dcterms:created>
  <dcterms:modified xsi:type="dcterms:W3CDTF">2025-11-01T11:48:00Z</dcterms:modified>
  <cp:category/>
</cp:coreProperties>
</file>