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346AFC" w:rsidRDefault="00346AFC" w:rsidP="00346A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AFC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1. IATA Corporate Communications, “Joint press release: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ACI and IATA collaborate to deliver smart security,” IATA,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Dec. 12, 2013.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Available: http://www.iata.org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/pressroom/pr/Pages/2013-12-12-02.aspx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2. FLYSEC, “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Optimising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time-to-FLY and enhancing airport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SECurity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project website.”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Accessed on: Feb. 20, 2019.</w:t>
      </w:r>
      <w:proofErr w:type="gramEnd"/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Available: http://www.fly-sec.eu.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3. General Data Protection Regulation, “Regulation (EU)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2016/679 of the European Parliament and of the Council.”</w:t>
      </w:r>
      <w:proofErr w:type="gramEnd"/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Accessed on: Feb. 20, 2019.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Available: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https://eur-lex.europa.eu/legal-content/EN/TXT/PDF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/?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uri</w:t>
      </w:r>
      <w:proofErr w:type="spellEnd"/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>=CELEX:32016R0679&amp;from=EN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4. M.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Kost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and J.-C.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Freytag, “Privacy analysis using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ontologies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,”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>CODASPY’12</w:t>
      </w:r>
      <w:r w:rsidRPr="006C2446">
        <w:rPr>
          <w:rFonts w:ascii="Times New Roman" w:eastAsia="ArnoPro-Regular" w:hAnsi="Times New Roman" w:cs="Times New Roman"/>
          <w:sz w:val="28"/>
          <w:szCs w:val="28"/>
        </w:rPr>
        <w:t>, 2012, pp. 205–216.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5. M. B.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Zafar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I. Valera, M. G. Rodriguez, K. P.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Gummadi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“Fairness constraints: Mechanisms for fair classification,”</w:t>
      </w:r>
    </w:p>
    <w:p w:rsidR="0083745C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i/>
          <w:iCs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in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>Proc. 20th Int. Conf. Artificial Intelligence and Statistics</w:t>
      </w:r>
    </w:p>
    <w:p w:rsidR="00B17AD3" w:rsidRPr="006C2446" w:rsidRDefault="0083745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 xml:space="preserve">(AISTATS), </w:t>
      </w:r>
      <w:r w:rsidRPr="006C2446">
        <w:rPr>
          <w:rFonts w:ascii="Times New Roman" w:eastAsia="ArnoPro-Regular" w:hAnsi="Times New Roman" w:cs="Times New Roman"/>
          <w:sz w:val="28"/>
          <w:szCs w:val="28"/>
        </w:rPr>
        <w:t>2017, pp. 962–970.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6. A.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Albarghouthi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L.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D’Antoni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S.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Drews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and A.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Nori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“Fairness as a program property,” 2016.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::</w:t>
      </w:r>
      <w:proofErr w:type="gramEnd"/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https://arxiv.org/abs/1610.06067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7. L. E.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Celis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A.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Deshpande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T.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Kathuria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and N. K.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Vishnoi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“How to be fair and diverse?”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2016. [Online] Available: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https://arxiv.org/abs/1610.07183v1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8. J. L.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Skeem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and C. T.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Lowenkamp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“Risk, race, &amp; recidivism: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Predictive bias and disparate impact,” Social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lastRenderedPageBreak/>
        <w:t xml:space="preserve">Science Research Network, Nov. 8, 2015.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Available: https://papers.ssrn.com/sol3/papers.cfm?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abstract_id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=2687339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9. A.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Chouldechova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“Fair prediction with disparate impact,”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2016. [Online]. Available: https://arxiv.org/abs/1610.07524v1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10. S. Bird, S.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Barocas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K. Crawford, F. Diaz, H. Wallach,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“Exploring or exploiting? Social and ethical implications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of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autonomous experimentation in AI,” presented at the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Workshop Fairness, Accountability, and Transparency</w:t>
      </w:r>
    </w:p>
    <w:p w:rsidR="00AF1CA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Machine Learning, 2016.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Available: https://</w:t>
      </w:r>
    </w:p>
    <w:p w:rsidR="0083745C" w:rsidRPr="006C2446" w:rsidRDefault="00AF1CA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ssrn.com/abstract=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>2846909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11. S.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Hajian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F.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Bonchi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and C. Castillo, “Algorithmic bias: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From discrimination discovery to fairness-aware data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i/>
          <w:iCs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mining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,” in </w:t>
      </w:r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>Proc. 22nd ACM SIGKDD Int. Conf. Knowledge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>Discovery and Data Mining</w:t>
      </w:r>
      <w:r w:rsidRPr="006C2446">
        <w:rPr>
          <w:rFonts w:ascii="Times New Roman" w:eastAsia="ArnoPro-Regular" w:hAnsi="Times New Roman" w:cs="Times New Roman"/>
          <w:sz w:val="28"/>
          <w:szCs w:val="28"/>
        </w:rPr>
        <w:t>, 2016, pp. 2125–2126.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12. U.S. Equal Employment Opportunity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Commision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“Types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of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discrimination.”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Accessed on: Feb. 20, 2019.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Available: https://www.eeoc.gov/laws/types.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13. B.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Mittelstadt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P.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Allo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M.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Taddeo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S.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Wachter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, and L.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Floridi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i/>
          <w:iCs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“The ethics of algorithms: Mapping the debate,” </w:t>
      </w:r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>Big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i/>
          <w:iCs/>
          <w:sz w:val="28"/>
          <w:szCs w:val="28"/>
        </w:rPr>
        <w:t>Data Soc.</w:t>
      </w:r>
      <w:r w:rsidRPr="006C2446">
        <w:rPr>
          <w:rFonts w:ascii="Times New Roman" w:eastAsia="ArnoPro-Regular" w:hAnsi="Times New Roman" w:cs="Times New Roman"/>
          <w:sz w:val="28"/>
          <w:szCs w:val="28"/>
        </w:rPr>
        <w:t>, vol. 3, 2016.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doi: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>10.1177/2053951716679679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14. I.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Zliobaite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“A survey on measuring indirect discrimination</w:t>
      </w:r>
    </w:p>
    <w:p w:rsidR="00641B1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in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machine learning,” 2015. </w:t>
      </w: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Available: https://</w:t>
      </w:r>
    </w:p>
    <w:p w:rsidR="00AF1CAC" w:rsidRPr="006C2446" w:rsidRDefault="00641B1C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>arxiv.org/abs/1511.00148v1</w:t>
      </w:r>
    </w:p>
    <w:p w:rsidR="00CF404E" w:rsidRPr="006C2446" w:rsidRDefault="00CF404E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15. B. Fish, J. Kun, and A. D. </w:t>
      </w:r>
      <w:proofErr w:type="spellStart"/>
      <w:r w:rsidRPr="006C2446">
        <w:rPr>
          <w:rFonts w:ascii="Times New Roman" w:eastAsia="ArnoPro-Regular" w:hAnsi="Times New Roman" w:cs="Times New Roman"/>
          <w:sz w:val="28"/>
          <w:szCs w:val="28"/>
        </w:rPr>
        <w:t>Lelkes</w:t>
      </w:r>
      <w:proofErr w:type="spellEnd"/>
      <w:r w:rsidRPr="006C2446">
        <w:rPr>
          <w:rFonts w:ascii="Times New Roman" w:eastAsia="ArnoPro-Regular" w:hAnsi="Times New Roman" w:cs="Times New Roman"/>
          <w:sz w:val="28"/>
          <w:szCs w:val="28"/>
        </w:rPr>
        <w:t>, “A confidence-based</w:t>
      </w:r>
    </w:p>
    <w:p w:rsidR="00CF404E" w:rsidRPr="006C2446" w:rsidRDefault="00CF404E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approach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for balancing fairness and accuracy,” 2016.</w:t>
      </w:r>
    </w:p>
    <w:p w:rsidR="00641B1C" w:rsidRPr="004D35B6" w:rsidRDefault="00CF404E" w:rsidP="006C2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446">
        <w:rPr>
          <w:rFonts w:ascii="Times New Roman" w:eastAsia="ArnoPro-Regular" w:hAnsi="Times New Roman" w:cs="Times New Roman"/>
          <w:sz w:val="28"/>
          <w:szCs w:val="28"/>
        </w:rPr>
        <w:t>[Online].</w:t>
      </w:r>
      <w:proofErr w:type="gramEnd"/>
      <w:r w:rsidRPr="006C2446">
        <w:rPr>
          <w:rFonts w:ascii="Times New Roman" w:eastAsia="ArnoPro-Regular" w:hAnsi="Times New Roman" w:cs="Times New Roman"/>
          <w:sz w:val="28"/>
          <w:szCs w:val="28"/>
        </w:rPr>
        <w:t xml:space="preserve"> Available: https://arxiv.org/abs/1601.05764v</w:t>
      </w:r>
      <w:r>
        <w:rPr>
          <w:rFonts w:ascii="ArnoPro-Regular" w:eastAsia="ArnoPro-Regular" w:cs="ArnoPro-Regular"/>
          <w:sz w:val="18"/>
          <w:szCs w:val="18"/>
        </w:rPr>
        <w:t>1</w:t>
      </w:r>
    </w:p>
    <w:sectPr w:rsidR="00641B1C" w:rsidRPr="004D35B6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no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46AFC"/>
    <w:rsid w:val="004D35B6"/>
    <w:rsid w:val="00641B1C"/>
    <w:rsid w:val="00643315"/>
    <w:rsid w:val="006C2446"/>
    <w:rsid w:val="0083745C"/>
    <w:rsid w:val="008C53DB"/>
    <w:rsid w:val="00AF1CAC"/>
    <w:rsid w:val="00B17AD3"/>
    <w:rsid w:val="00CF404E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10</cp:revision>
  <dcterms:created xsi:type="dcterms:W3CDTF">2016-12-19T05:55:00Z</dcterms:created>
  <dcterms:modified xsi:type="dcterms:W3CDTF">2019-11-19T06:43:00Z</dcterms:modified>
</cp:coreProperties>
</file>