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2E74B5"/>
          <w:spacing w:val="40"/>
          <w:sz w:val="18"/>
          <w:szCs w:val="18"/>
        </w:rPr>
        <w:t xml:space="preserve">PROBATIONARY PERIOD  ·  WORK SUMMARY</w:t>
      </w:r>
    </w:p>
    <w:p>
      <w:pPr>
        <w:spacing w:after="60" w:before="0" w:line="3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40"/>
          <w:szCs w:val="40"/>
        </w:rPr>
        <w:t xml:space="preserve">Establishing a Research Program in Computational Protein–Protein Interaction</w:t>
      </w:r>
    </w:p>
    <w:p>
      <w:pPr>
        <w:pBdr>
          <w:bottom w:val="single" w:color="2E74B5" w:sz="12" w:space="6"/>
        </w:pBd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95959"/>
          <w:sz w:val="22"/>
          <w:szCs w:val="22"/>
        </w:rPr>
        <w:t xml:space="preserve">A Multimodal Deep-Learning Framework for Predicting Protein–Protein Interactions and Their Drug-Relevant Properties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6526"/>
      </w:tblGrid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Name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Dr. Khalid Zaman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Position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Research Assistant Professor (RAP)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SUAT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E74B5"/>
                <w:sz w:val="21"/>
                <w:szCs w:val="21"/>
              </w:rPr>
              <w:t xml:space="preserve">[confirm full institution name]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Prof. Zhaoxi Sun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Probationary period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6 months  (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E74B5"/>
                <w:sz w:val="21"/>
                <w:szCs w:val="21"/>
              </w:rPr>
              <w:t xml:space="preserve">[start date]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–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E74B5"/>
                <w:sz w:val="21"/>
                <w:szCs w:val="21"/>
              </w:rPr>
              <w:t xml:space="preserve">[end date]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)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E74B5"/>
                <w:sz w:val="21"/>
                <w:szCs w:val="21"/>
              </w:rPr>
              <w:t xml:space="preserve">[date]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Research area</w:t>
            </w:r>
          </w:p>
        </w:tc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Multimodal deep learning for protein–protein interaction</w:t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/>
      </w:r>
    </w:p>
    <w:tbl>
      <w:tblPr>
        <w:tblW w:type="dxa" w:w="9026"/>
        <w:tblBorders>
          <w:top w:val="single" w:color="C8D3E6" w:sz="4"/>
          <w:left w:val="single" w:color="2E74B5" w:sz="24"/>
          <w:bottom w:val="single" w:color="C8D3E6" w:sz="4"/>
          <w:right w:val="single" w:color="C8D3E6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7FC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1"/>
                <w:szCs w:val="21"/>
              </w:rPr>
              <w:t xml:space="preserve">Highlights at a glance</w:t>
            </w:r>
          </w:p>
          <w:p>
            <w:pPr>
              <w:spacing w:after="7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Reproduced a state-of-the-art PPI baseline end-to-end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D46"/>
                <w:sz w:val="21"/>
                <w:szCs w:val="21"/>
              </w:rPr>
              <w:t xml:space="preserve">AUPR 0.917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on the D-SCRIPT human benchmark, versus ~0.55–0.61 for earlier sequence methods.</w:t>
            </w:r>
          </w:p>
          <w:p>
            <w:pPr>
              <w:spacing w:after="7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Designed and trained an original model (CrossAttnPPI) that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exceeds the published leakage-free benchmark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— AUPR 0.709 vs ~0.69 prior state of the art.</w:t>
            </w:r>
          </w:p>
          <w:p>
            <w:pPr>
              <w:spacing w:after="7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Architected and implemented a novel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multimodal, multi-task model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fusing sequence, structure, and evolution — every component unit-tested.</w:t>
            </w:r>
          </w:p>
          <w:p>
            <w:pPr>
              <w:spacing w:after="7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Built a fully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reproducible HPC research pipeline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— SLURM cluster, version-controlled and mirrored to two remote repositories.</w:t>
            </w:r>
          </w:p>
        </w:tc>
      </w:tr>
    </w:tbl>
    <w:p>
      <w:pPr>
        <w:keepNext/>
        <w:pBdr>
          <w:bottom w:val="single" w:color="DEE7F3" w:sz="6" w:space="4"/>
        </w:pBdr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26"/>
          <w:szCs w:val="26"/>
        </w:rPr>
        <w:t xml:space="preserve">1.  Executive Summary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During my probationary period I established and substantially advanced an independent, well-scoped research program in computational structural biology: the design of a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multimodal deep-learning framework for predicting protein–protein interactions (PPIs) and their drug-relevant properties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. Within six months the work progressed from a bare compute environment to a trained model that exceeds the published state of the art on a rigorous, leakage-free benchmark, with a novel multimodal extension now in active development.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The project is engineered for scientific rigour and reproducibility. Every phase concludes in a self-contained, reportable result; all code and documentation are version-controlled and mirrored across the group's GPU cluster and two independent remote repositories. In parallel with the core research, I contributed to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E74B5"/>
          <w:sz w:val="21"/>
          <w:szCs w:val="21"/>
        </w:rPr>
        <w:t xml:space="preserve">[the environment/compute set-up, proposal development, student mentoring, and group collaboration — add your specifics in Section 5]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.</w:t>
      </w:r>
    </w:p>
    <w:p>
      <w:pPr>
        <w:keepNext/>
        <w:pBdr>
          <w:bottom w:val="single" w:color="DEE7F3" w:sz="6" w:space="4"/>
        </w:pBdr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26"/>
          <w:szCs w:val="26"/>
        </w:rPr>
        <w:t xml:space="preserve">2.  Research Project — Overview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From the amino-acid sequences of two proteins, the target model predicts (1) whether they interact, (2) how strongly they bind, and (3) which residues form the interface — each with residue-level interpretability. It combines three complementary views of each protein: a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protein language model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(sequence), an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experimentally grounded structural module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(PDBbind complex structures as residue contact graphs), and an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evolutionary module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(conservation from multiple sequence alignments), reasoned across the pair by a cross-attention engine. The work is deliberately complementary to the group's bound-structure prediction methods rather than competing with them.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The project follows a disciplined, phased plan. Progress to date:</w:t>
      </w:r>
    </w:p>
    <w:tbl>
      <w:tblPr>
        <w:tblW w:type="dxa" w:w="9026"/>
        <w:tblBorders>
          <w:top w:val="single" w:color="BFC9DA" w:sz="4"/>
          <w:left w:val="single" w:color="BFC9DA" w:sz="4"/>
          <w:bottom w:val="single" w:color="BFC9DA" w:sz="4"/>
          <w:right w:val="single" w:color="BFC9DA" w:sz="4"/>
          <w:insideH w:val="single" w:color="D6DCE8" w:sz="4"/>
          <w:insideV w:val="single" w:color="D6DCE8" w:sz="4"/>
        </w:tblBorders>
      </w:tblPr>
      <w:tblGrid>
        <w:gridCol w:w="760"/>
        <w:gridCol w:w="2500"/>
        <w:gridCol w:w="1500"/>
        <w:gridCol w:w="4266"/>
      </w:tblGrid>
      <w:tr>
        <w:trPr>
          <w:tblHeader/>
        </w:trPr>
        <w:tc>
          <w:tcPr>
            <w:tcW w:type="dxa" w:w="7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66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Environment &amp; baseline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D46"/>
                <w:sz w:val="18"/>
                <w:szCs w:val="18"/>
              </w:rPr>
              <w:t xml:space="preserve">DONE</w:t>
            </w:r>
          </w:p>
        </w:tc>
        <w:tc>
          <w:tcPr>
            <w:tcW w:type="dxa" w:w="42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Built the GPU/deep-learning environment; reproduced the PLM-interact baseline end-to-end (AUROC 0.989 / AUPR 0.917).</w:t>
            </w:r>
          </w:p>
        </w:tc>
      </w:tr>
      <w:tr>
        <w:tc>
          <w:tcPr>
            <w:tcW w:type="dxa" w:w="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Data assembly</w:t>
            </w:r>
          </w:p>
        </w:tc>
        <w:tc>
          <w:tcPr>
            <w:tcW w:type="dxa" w:w="15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D46"/>
                <w:sz w:val="18"/>
                <w:szCs w:val="18"/>
              </w:rPr>
              <w:t xml:space="preserve">DONE</w:t>
            </w:r>
          </w:p>
        </w:tc>
        <w:tc>
          <w:tcPr>
            <w:tcW w:type="dxa" w:w="4266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Assembled ~274k interaction pairs (Bernett gold standard), 8,207 affinity complexes (PPB-Affinity/PDBbind), and interface-residue labels.</w:t>
            </w:r>
          </w:p>
        </w:tc>
      </w:tr>
      <w:tr>
        <w:tc>
          <w:tcPr>
            <w:tcW w:type="dxa" w:w="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Core interaction model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D46"/>
                <w:sz w:val="18"/>
                <w:szCs w:val="18"/>
              </w:rPr>
              <w:t xml:space="preserve">DONE</w:t>
            </w:r>
          </w:p>
        </w:tc>
        <w:tc>
          <w:tcPr>
            <w:tcW w:type="dxa" w:w="42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Built &amp; trained CrossAttnPPI (ESM-2 + cross-attention); best model AUROC 0.717 / AUPR 0.709, above published SOTA (~0.69).</w:t>
            </w:r>
          </w:p>
        </w:tc>
      </w:tr>
      <w:tr>
        <w:tc>
          <w:tcPr>
            <w:tcW w:type="dxa" w:w="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Structural + evolutionary modules</w:t>
            </w:r>
          </w:p>
        </w:tc>
        <w:tc>
          <w:tcPr>
            <w:tcW w:type="dxa" w:w="15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4266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Implemented contact-graph and MSA-conservation modules and a multi-task model; UniRef50 + MMseqs2 alignment pipeline running.</w:t>
            </w:r>
          </w:p>
        </w:tc>
      </w:tr>
      <w:tr>
        <w:tc>
          <w:tcPr>
            <w:tcW w:type="dxa" w:w="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Affinity &amp; interface heads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PLANNED</w:t>
            </w:r>
          </w:p>
        </w:tc>
        <w:tc>
          <w:tcPr>
            <w:tcW w:type="dxa" w:w="42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Binding-affinity (pKd) and interface-residue prediction, trained on the prepared structural data.</w:t>
            </w:r>
          </w:p>
        </w:tc>
      </w:tr>
      <w:tr>
        <w:tc>
          <w:tcPr>
            <w:tcW w:type="dxa" w:w="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Benchmarking &amp; ablations</w:t>
            </w:r>
          </w:p>
        </w:tc>
        <w:tc>
          <w:tcPr>
            <w:tcW w:type="dxa" w:w="15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PLANNED</w:t>
            </w:r>
          </w:p>
        </w:tc>
        <w:tc>
          <w:tcPr>
            <w:tcW w:type="dxa" w:w="4266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Full comparison against baselines and ablation of each modality.</w:t>
            </w:r>
          </w:p>
        </w:tc>
      </w:tr>
      <w:tr>
        <w:tc>
          <w:tcPr>
            <w:tcW w:type="dxa" w:w="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Dissemination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PLANNED</w:t>
            </w:r>
          </w:p>
        </w:tc>
        <w:tc>
          <w:tcPr>
            <w:tcW w:type="dxa" w:w="42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Manuscript and open-source code + model release.</w:t>
            </w:r>
          </w:p>
        </w:tc>
      </w:tr>
    </w:tbl>
    <w:p>
      <w:pPr>
        <w:keepNext/>
        <w:pBdr>
          <w:bottom w:val="single" w:color="DEE7F3" w:sz="6" w:space="4"/>
        </w:pBdr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26"/>
          <w:szCs w:val="26"/>
        </w:rPr>
        <w:t xml:space="preserve">3.  Key Results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All figures are on large, held-out test sets that were never seen during training.</w:t>
      </w:r>
    </w:p>
    <w:tbl>
      <w:tblPr>
        <w:tblW w:type="dxa" w:w="9026"/>
        <w:tblBorders>
          <w:top w:val="single" w:color="BFC9DA" w:sz="4"/>
          <w:left w:val="single" w:color="BFC9DA" w:sz="4"/>
          <w:bottom w:val="single" w:color="BFC9DA" w:sz="4"/>
          <w:right w:val="single" w:color="BFC9DA" w:sz="4"/>
          <w:insideH w:val="single" w:color="D6DCE8" w:sz="4"/>
          <w:insideV w:val="single" w:color="D6DCE8" w:sz="4"/>
        </w:tblBorders>
      </w:tblPr>
      <w:tblGrid>
        <w:gridCol w:w="2560"/>
        <w:gridCol w:w="2500"/>
        <w:gridCol w:w="966"/>
        <w:gridCol w:w="966"/>
        <w:gridCol w:w="2034"/>
      </w:tblGrid>
      <w:tr>
        <w:trPr>
          <w:tblHeader/>
        </w:trPr>
        <w:tc>
          <w:tcPr>
            <w:tcW w:type="dxa" w:w="25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Benchmark (held-out)</w:t>
            </w:r>
          </w:p>
        </w:tc>
        <w:tc>
          <w:tcPr>
            <w:tcW w:type="dxa" w:w="966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AUROC</w:t>
            </w:r>
          </w:p>
        </w:tc>
        <w:tc>
          <w:tcPr>
            <w:tcW w:type="dxa" w:w="966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AUPR</w:t>
            </w:r>
          </w:p>
        </w:tc>
        <w:tc>
          <w:tcPr>
            <w:tcW w:type="dxa" w:w="2034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PLM-interact-650M (reproduced)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D-SCRIPT human (52,725 pairs)</w:t>
            </w:r>
          </w:p>
        </w:tc>
        <w:tc>
          <w:tcPr>
            <w:tcW w:type="dxa" w:w="9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0.9885</w:t>
            </w:r>
          </w:p>
        </w:tc>
        <w:tc>
          <w:tcPr>
            <w:tcW w:type="dxa" w:w="9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D46"/>
                <w:sz w:val="20"/>
                <w:szCs w:val="20"/>
              </w:rPr>
              <w:t xml:space="preserve">0.9174</w:t>
            </w:r>
          </w:p>
        </w:tc>
        <w:tc>
          <w:tcPr>
            <w:tcW w:type="dxa" w:w="20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95959"/>
                <w:sz w:val="18"/>
                <w:szCs w:val="18"/>
              </w:rPr>
              <w:t xml:space="preserve">vs ~0.55 (D-SCRIPT), ~0.58 (Topsy-Turvy)</w:t>
            </w:r>
          </w:p>
        </w:tc>
      </w:tr>
      <w:tr>
        <w:tc>
          <w:tcPr>
            <w:tcW w:type="dxa" w:w="25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CrossAttnPPI-35M (ours)</w:t>
            </w:r>
          </w:p>
        </w:tc>
        <w:tc>
          <w:tcPr>
            <w:tcW w:type="dxa" w:w="25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Bernett gold (52,048 pairs)</w:t>
            </w:r>
          </w:p>
        </w:tc>
        <w:tc>
          <w:tcPr>
            <w:tcW w:type="dxa" w:w="966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0.7033</w:t>
            </w:r>
          </w:p>
        </w:tc>
        <w:tc>
          <w:tcPr>
            <w:tcW w:type="dxa" w:w="966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D46"/>
                <w:sz w:val="20"/>
                <w:szCs w:val="20"/>
              </w:rPr>
              <w:t xml:space="preserve">0.7017</w:t>
            </w:r>
          </w:p>
        </w:tc>
        <w:tc>
          <w:tcPr>
            <w:tcW w:type="dxa" w:w="2034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95959"/>
                <w:sz w:val="18"/>
                <w:szCs w:val="18"/>
              </w:rPr>
              <w:t xml:space="preserve">above published baseline</w:t>
            </w:r>
          </w:p>
        </w:tc>
      </w:tr>
      <w:tr>
        <w:tc>
          <w:tcPr>
            <w:tcW w:type="dxa" w:w="2560"/>
            <w:shd w:fill="EAF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CrossAttnPPI-650M (ours)</w:t>
            </w:r>
          </w:p>
        </w:tc>
        <w:tc>
          <w:tcPr>
            <w:tcW w:type="dxa" w:w="2500"/>
            <w:shd w:fill="EAF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Bernett gold (52,048 pairs)</w:t>
            </w:r>
          </w:p>
        </w:tc>
        <w:tc>
          <w:tcPr>
            <w:tcW w:type="dxa" w:w="966"/>
            <w:shd w:fill="EAF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0.7174</w:t>
            </w:r>
          </w:p>
        </w:tc>
        <w:tc>
          <w:tcPr>
            <w:tcW w:type="dxa" w:w="966"/>
            <w:shd w:fill="EAF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D46"/>
                <w:sz w:val="20"/>
                <w:szCs w:val="20"/>
              </w:rPr>
              <w:t xml:space="preserve">0.7093</w:t>
            </w:r>
          </w:p>
        </w:tc>
        <w:tc>
          <w:tcPr>
            <w:tcW w:type="dxa" w:w="2034"/>
            <w:shd w:fill="EAF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95959"/>
                <w:sz w:val="18"/>
                <w:szCs w:val="18"/>
              </w:rPr>
              <w:t xml:space="preserve">best — exceeds SOTA (~0.69 AUPR)</w:t>
            </w:r>
          </w:p>
        </w:tc>
      </w:tr>
    </w:tbl>
    <w:p>
      <w:pPr>
        <w:spacing w:after="120" w:before="8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Two results are especially notable. First, the Phase 0 reproduction confirmed a fully working, credible pipeline (AUPR 0.917 against ~0.55–0.61 for prior sequence methods). Second — and more importantly — the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original model built in-house exceeds the published state of the art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on the deliberately hard, leakage-free Bernett benchmark (AUPR 0.709 vs ~0.69), with test performance matching validation on 52,048 pairs, indicating trustworthy, non-overfit results.</w:t>
      </w:r>
    </w:p>
    <w:p>
      <w:pPr>
        <w:keepNext/>
        <w:pBdr>
          <w:bottom w:val="single" w:color="DEE7F3" w:sz="6" w:space="4"/>
        </w:pBdr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26"/>
          <w:szCs w:val="26"/>
        </w:rPr>
        <w:t xml:space="preserve">4.  Research Infrastructure &amp; Reproducibility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Compute environment: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built and validated a modern deep-learning stack (PyTorch 2.7.1 / CUDA 12.8) on the group's RTX 50-series GPU cluster, with jobs orchestrated through the SLURM scheduler.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Version control &amp; backup: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the full codebase is under Git and mirrored to both Gitee and GitHub, kept in continuous sync across the cluster and laptop, so no work can be lost.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Documentation: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 single source-of-truth project record, per-phase technical summaries, and dataset documentation keep the project auditable and easy to hand over or resume.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Reproducibility: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each phase is a self-contained, re-runnable unit; data-preparation and training are fully scripted.</w:t>
      </w:r>
    </w:p>
    <w:p>
      <w:pPr>
        <w:keepNext/>
        <w:pBdr>
          <w:bottom w:val="single" w:color="DEE7F3" w:sz="6" w:space="4"/>
        </w:pBdr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26"/>
          <w:szCs w:val="26"/>
        </w:rPr>
        <w:t xml:space="preserve">5.  Broader Contributions &amp; Responsibilities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Beyond the core research, my probationary contributions include the following. (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E74B5"/>
          <w:sz w:val="21"/>
          <w:szCs w:val="21"/>
        </w:rPr>
        <w:t xml:space="preserve">Please expand each point with concrete specifics — names, dates, numbers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Research proposal: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authored the full project proposal (v10), refining scope, aims, and methodology in consultation with the supervisor.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Environment &amp; data engineering: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independently set up the compute environment and assembled all public datasets required for the project.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E74B5"/>
          <w:sz w:val="21"/>
          <w:szCs w:val="21"/>
        </w:rPr>
        <w:t xml:space="preserve">[Student mentoring / supervision — e.g., guided N postgraduate students on ...]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E74B5"/>
          <w:sz w:val="21"/>
          <w:szCs w:val="21"/>
        </w:rPr>
        <w:t xml:space="preserve">[Group collaboration — e.g., contributed to shared methods / discussions with the DATUM-FACET / docking team on ...]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E74B5"/>
          <w:sz w:val="21"/>
          <w:szCs w:val="21"/>
        </w:rPr>
        <w:t xml:space="preserve">[Teaching / seminars — e.g., delivered a group seminar on protein language models on (date)]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E74B5"/>
          <w:sz w:val="21"/>
          <w:szCs w:val="21"/>
        </w:rPr>
        <w:t xml:space="preserve">[Service / other duties — add any additional responsibilities here]</w:t>
      </w:r>
    </w:p>
    <w:p>
      <w:pPr>
        <w:keepNext/>
        <w:pBdr>
          <w:bottom w:val="single" w:color="DEE7F3" w:sz="6" w:space="4"/>
        </w:pBdr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26"/>
          <w:szCs w:val="26"/>
        </w:rPr>
        <w:t xml:space="preserve">6.  Skills &amp; Competencies Demonstrated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Deep learning: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PyTorch, Transformers, protein language models (ESM-2), graph neural networks, cross-attention, and multi-task learning.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Computational biology: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PPI datasets, PDBbind/RCSB structural data, interface derivation, and MSA generation (MMseqs2, UniRef50).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High-performance computing: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SLURM job design, GPU training, and large-scale data handling.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Reproducible research &amp; scientific writing: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Git-based workflows, structured documentation, and proposal/report preparation.</w:t>
      </w:r>
    </w:p>
    <w:p>
      <w:pPr>
        <w:keepNext/>
        <w:pBdr>
          <w:bottom w:val="single" w:color="DEE7F3" w:sz="6" w:space="4"/>
        </w:pBdr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26"/>
          <w:szCs w:val="26"/>
        </w:rPr>
        <w:t xml:space="preserve">7.  Plans for the Coming Period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Complete Phase 3: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finish the multiple-sequence-alignment pipeline and train the multimodal model on the reserved training GPU.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Phase 4: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add and evaluate the binding-affinity and interface-residue prediction heads.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Phase 5: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run full benchmarking and modality-ablation studies to quantify the contribution of structure and evolution.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Phase 6: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prepare a manuscript for publication and release the code and trained models openly.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E74B5"/>
          <w:sz w:val="21"/>
          <w:szCs w:val="21"/>
        </w:rPr>
        <w:t xml:space="preserve">[Any broader goals for the next period — grants, collaborations, teaching]</w:t>
      </w:r>
    </w:p>
    <w:p>
      <w:pPr>
        <w:keepNext/>
        <w:pBdr>
          <w:bottom w:val="single" w:color="DEE7F3" w:sz="6" w:space="4"/>
        </w:pBdr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26"/>
          <w:szCs w:val="26"/>
        </w:rPr>
        <w:t xml:space="preserve">8.  Conclusion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In six months this work has moved from environment set-up to a trained, benchmark-exceeding model and a working multimodal architecture, on a rigorous and fully reproducible foundation. The trajectory is strong and the remaining phases are well-defined. I am confident this establishes a solid basis for a productive and impactful research program, and I look forward to carrying it through to publication.</w:t>
      </w:r>
    </w:p>
    <w:p>
      <w:pPr>
        <w:spacing w:after="0" w:before="20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21"/>
                <w:szCs w:val="21"/>
              </w:rPr>
              <w:t xml:space="preserve">_______________________________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1"/>
                <w:szCs w:val="21"/>
              </w:rPr>
              <w:t xml:space="preserve">Dr. Khalid Zaman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19"/>
                <w:szCs w:val="19"/>
              </w:rPr>
              <w:t xml:space="preserve">Research Assistant Professor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21"/>
                <w:szCs w:val="21"/>
              </w:rPr>
              <w:t xml:space="preserve">_______________________________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1"/>
                <w:szCs w:val="21"/>
              </w:rPr>
              <w:t xml:space="preserve">Prof. Zhaoxi Sun  (Supervisor)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19"/>
                <w:szCs w:val="19"/>
              </w:rPr>
              <w:t xml:space="preserve">Date: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E74B5"/>
                <w:sz w:val="21"/>
                <w:szCs w:val="21"/>
              </w:rPr>
              <w:t xml:space="preserve">[      ]</w:t>
            </w:r>
          </w:p>
        </w:tc>
      </w:tr>
    </w:tbl>
    <w:sectPr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color w:val="2E74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Probationary Period Work Summary</dc:title>
  <dc:creator>Dr. Khalid Zaman</dc:creator>
  <cp:lastModifiedBy>Un-named</cp:lastModifiedBy>
  <cp:revision>1</cp:revision>
  <dcterms:created xsi:type="dcterms:W3CDTF">2026-09-20T01:43:21.715Z</dcterms:created>
  <dcterms:modified xsi:type="dcterms:W3CDTF">2026-09-20T01:43:21.727Z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