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/>
          <w:b/>
          <w:sz w:val="36"/>
        </w:rPr>
        <w:t>STANDARD OPERATING PROCEDURE</w:t>
      </w:r>
    </w:p>
    <w:p/>
    <w:p>
      <w:r>
        <w:rPr>
          <w:rFonts w:ascii="Times New Roman" w:hAnsi="Times New Roman"/>
          <w:b/>
          <w:sz w:val="26"/>
        </w:rPr>
        <w:t>Title: TFL Shell Template Usage and Management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22"/>
              </w:rPr>
              <w:t>SOP No.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SOP-TFL-001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22"/>
              </w:rPr>
              <w:t>Version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2.1.0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22"/>
              </w:rPr>
              <w:t>Effective Date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28 April 2026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22"/>
              </w:rPr>
              <w:t>Department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Biostatistics / Statistical Programming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22"/>
              </w:rPr>
              <w:t>Classification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CONFIDENTIAL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Table of Contents</w:t>
      </w:r>
    </w:p>
    <w:p>
      <w:pPr>
        <w:spacing w:before="120" w:after="240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end"/>
      </w:r>
    </w:p>
    <w:p>
      <w:pPr>
        <w:spacing w:before="0" w:after="240"/>
      </w:pPr>
      <w:r>
        <w:rPr>
          <w:rFonts w:ascii="Times New Roman" w:hAnsi="Times New Roman"/>
          <w:i/>
          <w:sz w:val="16"/>
        </w:rPr>
        <w:t>[To update: right-click the Table of Contents above and select 'Update Field', then 'Update entire table']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1.  PURPOSE AND SCOPE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1.1  Purpose</w:t>
      </w:r>
    </w:p>
    <w:p>
      <w:r>
        <w:rPr>
          <w:rFonts w:ascii="Times New Roman" w:hAnsi="Times New Roman"/>
          <w:sz w:val="22"/>
        </w:rPr>
        <w:t>This Standard Operating Procedure (SOP) defines the standardized process for creating, using, and governing TFL (Tables, Figures, and Listings) shell templates for clinical study reporting.</w:t>
      </w:r>
    </w:p>
    <w:p>
      <w:r>
        <w:rPr>
          <w:rFonts w:ascii="Times New Roman" w:hAnsi="Times New Roman"/>
          <w:sz w:val="22"/>
        </w:rPr>
        <w:t>The purpose is to ensure consistent shell structure, clear traceability to study standards, and controlled reuse across oncology and non-oncology clinical studies.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1.2  Scope</w:t>
      </w:r>
    </w:p>
    <w:p>
      <w:r>
        <w:rPr>
          <w:rFonts w:ascii="Times New Roman" w:hAnsi="Times New Roman"/>
          <w:sz w:val="22"/>
        </w:rPr>
        <w:t>This SOP applies to clinical studies that use the ICH E3 CSR structure and require shell outputs before statistical results are produced.</w:t>
      </w:r>
    </w:p>
    <w:p>
      <w:r>
        <w:rPr>
          <w:rFonts w:ascii="Times New Roman" w:hAnsi="Times New Roman"/>
          <w:sz w:val="22"/>
        </w:rPr>
        <w:t>The governed shell scope includes CSR Sections 14.1, 14.2, 14.3, 14.4, and 16.2 only; Section 16.1 is excluded from this generator scope.</w:t>
      </w:r>
    </w:p>
    <w:p>
      <w:r>
        <w:rPr>
          <w:rFonts w:ascii="Times New Roman" w:hAnsi="Times New Roman"/>
          <w:sz w:val="22"/>
        </w:rPr>
        <w:t>It applies to Biostatistics, Statistical Programming, and Medical Writing functions involved in shell review, generation, and downstream execution.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1.3  Applicable Studies</w:t>
      </w:r>
    </w:p>
    <w:p>
      <w:r>
        <w:rPr>
          <w:rFonts w:ascii="Times New Roman" w:hAnsi="Times New Roman"/>
          <w:sz w:val="22"/>
        </w:rPr>
        <w:t>Interventional clinical trials across oncology and non-oncology therapeutic areas.</w:t>
      </w:r>
    </w:p>
    <w:p>
      <w:r>
        <w:rPr>
          <w:rFonts w:ascii="Times New Roman" w:hAnsi="Times New Roman"/>
          <w:sz w:val="22"/>
        </w:rPr>
        <w:t>Studies using standard CSR-oriented shell development before production programming begins.</w:t>
      </w:r>
    </w:p>
    <w:p>
      <w:r>
        <w:rPr>
          <w:rFonts w:ascii="Times New Roman" w:hAnsi="Times New Roman"/>
          <w:sz w:val="22"/>
        </w:rPr>
        <w:t>Integrated reporting activities when the same shell governance rules are adopted.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2.  DEFINITIONS AND ABBREVIATIONS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2.1  Key Definitions</w:t>
      </w:r>
    </w:p>
    <w:p>
      <w:r>
        <w:rPr>
          <w:rFonts w:ascii="Times New Roman" w:hAnsi="Times New Roman"/>
          <w:sz w:val="22"/>
        </w:rPr>
        <w:t>TFL: Tables, Figures, and Listings that form the statistical output package of a CSR.</w:t>
      </w:r>
    </w:p>
    <w:p>
      <w:r>
        <w:rPr>
          <w:rFonts w:ascii="Times New Roman" w:hAnsi="Times New Roman"/>
          <w:sz w:val="22"/>
        </w:rPr>
        <w:t>Shell: A governance-ready output template containing title, header metadata, column structure, analysis population, and footnotes without actual study results.</w:t>
      </w:r>
    </w:p>
    <w:p>
      <w:r>
        <w:rPr>
          <w:rFonts w:ascii="Times New Roman" w:hAnsi="Times New Roman"/>
          <w:sz w:val="22"/>
        </w:rPr>
        <w:t>Shell-first convention: The approach in which structural examples are preserved while result cells remain placeholders.</w:t>
      </w:r>
    </w:p>
    <w:p>
      <w:r>
        <w:rPr>
          <w:rFonts w:ascii="Times New Roman" w:hAnsi="Times New Roman"/>
          <w:sz w:val="22"/>
        </w:rPr>
        <w:t>Companion workbook: The synchronized XLSX catalog and usage guide generated alongside the DOCX shell template; it is not a workflow tracker.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2.2  Abbreviations</w:t>
      </w:r>
    </w:p>
    <w:p>
      <w:r>
        <w:rPr>
          <w:rFonts w:ascii="Times New Roman" w:hAnsi="Times New Roman"/>
          <w:sz w:val="22"/>
        </w:rPr>
        <w:t>AE: Adverse Event</w:t>
      </w:r>
    </w:p>
    <w:p>
      <w:r>
        <w:rPr>
          <w:rFonts w:ascii="Times New Roman" w:hAnsi="Times New Roman"/>
          <w:sz w:val="22"/>
        </w:rPr>
        <w:t>CSR: Clinical Study Report</w:t>
      </w:r>
    </w:p>
    <w:p>
      <w:r>
        <w:rPr>
          <w:rFonts w:ascii="Times New Roman" w:hAnsi="Times New Roman"/>
          <w:sz w:val="22"/>
        </w:rPr>
        <w:t>CTCAE: Common Terminology Criteria for Adverse Events</w:t>
      </w:r>
    </w:p>
    <w:p>
      <w:r>
        <w:rPr>
          <w:rFonts w:ascii="Times New Roman" w:hAnsi="Times New Roman"/>
          <w:sz w:val="22"/>
        </w:rPr>
        <w:t>ICH: International Council for Harmonisation</w:t>
      </w:r>
    </w:p>
    <w:p>
      <w:r>
        <w:rPr>
          <w:rFonts w:ascii="Times New Roman" w:hAnsi="Times New Roman"/>
          <w:sz w:val="22"/>
        </w:rPr>
        <w:t>ITT: Intent-to-Treat</w:t>
      </w:r>
    </w:p>
    <w:p>
      <w:r>
        <w:rPr>
          <w:rFonts w:ascii="Times New Roman" w:hAnsi="Times New Roman"/>
          <w:sz w:val="22"/>
        </w:rPr>
        <w:t>KM: Kaplan-Meier</w:t>
      </w:r>
    </w:p>
    <w:p>
      <w:r>
        <w:rPr>
          <w:rFonts w:ascii="Times New Roman" w:hAnsi="Times New Roman"/>
          <w:sz w:val="22"/>
        </w:rPr>
        <w:t>MedDRA: Medical Dictionary for Regulatory Activities</w:t>
      </w:r>
    </w:p>
    <w:p>
      <w:r>
        <w:rPr>
          <w:rFonts w:ascii="Times New Roman" w:hAnsi="Times New Roman"/>
          <w:sz w:val="22"/>
        </w:rPr>
        <w:t>PP: Per-Protocol</w:t>
      </w:r>
    </w:p>
    <w:p>
      <w:r>
        <w:rPr>
          <w:rFonts w:ascii="Times New Roman" w:hAnsi="Times New Roman"/>
          <w:sz w:val="22"/>
        </w:rPr>
        <w:t>SAP: Statistical Analysis Plan</w:t>
      </w:r>
    </w:p>
    <w:p>
      <w:r>
        <w:rPr>
          <w:rFonts w:ascii="Times New Roman" w:hAnsi="Times New Roman"/>
          <w:sz w:val="22"/>
        </w:rPr>
        <w:t>SOC: System Organ Class</w:t>
      </w:r>
    </w:p>
    <w:p>
      <w:r>
        <w:rPr>
          <w:rFonts w:ascii="Times New Roman" w:hAnsi="Times New Roman"/>
          <w:sz w:val="22"/>
        </w:rPr>
        <w:t>TEAE: Treatment-Emergent Adverse Event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3.  RESPONSIBILITIES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3.1  Role-Specific Responsibilities</w:t>
      </w:r>
    </w:p>
    <w:p>
      <w:r>
        <w:rPr>
          <w:rFonts w:ascii="Times New Roman" w:hAnsi="Times New Roman"/>
          <w:sz w:val="22"/>
        </w:rPr>
        <w:t>Lead Statistician: Confirms shell scope, titles, populations, and methodological footnotes against the SAP and protocol.</w:t>
      </w:r>
    </w:p>
    <w:p>
      <w:r>
        <w:rPr>
          <w:rFonts w:ascii="Times New Roman" w:hAnsi="Times New Roman"/>
          <w:sz w:val="22"/>
        </w:rPr>
        <w:t>Statistical Programmer: Generates the governed DOCX, XLSX, and SOP outputs and preserves approved shell structure during study implementation.</w:t>
      </w:r>
    </w:p>
    <w:p>
      <w:r>
        <w:rPr>
          <w:rFonts w:ascii="Times New Roman" w:hAnsi="Times New Roman"/>
          <w:sz w:val="22"/>
        </w:rPr>
        <w:t>Medical Writer: Reviews language consistency, readability, and alignment with CSR conventions.</w:t>
      </w:r>
    </w:p>
    <w:p>
      <w:r>
        <w:rPr>
          <w:rFonts w:ascii="Times New Roman" w:hAnsi="Times New Roman"/>
          <w:sz w:val="22"/>
        </w:rPr>
        <w:t>Quality Reviewer or Peer Reviewer: Verifies numbering, applicability, traceability notes, and consistency across all generated deliverables.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4.  PROCEDURE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4.1  Governed Deliverables</w:t>
      </w:r>
    </w:p>
    <w:p>
      <w:r>
        <w:rPr>
          <w:rFonts w:ascii="Times New Roman" w:hAnsi="Times New Roman"/>
          <w:sz w:val="22"/>
        </w:rPr>
        <w:t>The generator produces three coordinated deliverables: a DOCX shell template, a companion XLSX catalog workbook, and this SOP document.</w:t>
      </w:r>
    </w:p>
    <w:p>
      <w:r>
        <w:rPr>
          <w:rFonts w:ascii="Times New Roman" w:hAnsi="Times New Roman"/>
          <w:sz w:val="22"/>
        </w:rPr>
        <w:t>All three deliverables must stay aligned on internal TFL ID, reviewer-facing display label, title, section, type, applicability, and versioning conventions.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4.2  Shell Structure Rules</w:t>
      </w:r>
    </w:p>
    <w:p>
      <w:r>
        <w:rPr>
          <w:rFonts w:ascii="Times New Roman" w:hAnsi="Times New Roman"/>
          <w:sz w:val="22"/>
        </w:rPr>
        <w:t>Tables and listings preserve first-column structural examples such as row labels, categories, terms, or subject-structure identifiers needed to show the intended layout.</w:t>
      </w:r>
    </w:p>
    <w:p>
      <w:r>
        <w:rPr>
          <w:rFonts w:ascii="Times New Roman" w:hAnsi="Times New Roman"/>
          <w:sz w:val="22"/>
        </w:rPr>
        <w:t>Non-structural cells use shell-style placeholders such as XX, xx (xx.x), x.xxx, or CI-like formats as appropriate to the intended display. No mock numeric results, subject-level details, or fabricated derived values are permitted in governed shell outputs.</w:t>
      </w:r>
    </w:p>
    <w:p>
      <w:r>
        <w:rPr>
          <w:rFonts w:ascii="Times New Roman" w:hAnsi="Times New Roman"/>
          <w:sz w:val="22"/>
        </w:rPr>
        <w:t>Expandable treatment/group structures may use ellipsis (...) columns together with a Total column, and header sample sizes must remain generic (for example N=xx) rather than concrete counts.</w:t>
      </w:r>
    </w:p>
    <w:p>
      <w:r>
        <w:rPr>
          <w:rFonts w:ascii="Times New Roman" w:hAnsi="Times New Roman"/>
          <w:sz w:val="22"/>
        </w:rPr>
        <w:t>Listing shells must not introduce fabricated subject-level records; only structural examples and result-free placeholders are permitted.</w:t>
      </w:r>
    </w:p>
    <w:p>
      <w:r>
        <w:rPr>
          <w:rFonts w:ascii="Times New Roman" w:hAnsi="Times New Roman"/>
          <w:sz w:val="22"/>
        </w:rPr>
        <w:t>If a shell requires placeholder headers before study-specific terminology is finalized, neutral labels may be used temporarily so long as they remain governance-appropriate and result-free.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4.3  Figure Shell Rules</w:t>
      </w:r>
    </w:p>
    <w:p>
      <w:r>
        <w:rPr>
          <w:rFonts w:ascii="Times New Roman" w:hAnsi="Times New Roman"/>
          <w:sz w:val="22"/>
        </w:rPr>
        <w:t>Figure shells retain simulated illustrations so expected visual layout is visible for review.</w:t>
      </w:r>
    </w:p>
    <w:p>
      <w:r>
        <w:rPr>
          <w:rFonts w:ascii="Times New Roman" w:hAnsi="Times New Roman"/>
          <w:sz w:val="22"/>
        </w:rPr>
        <w:t>Simulated figures are shell artifacts only and must be replaced with study-specific production outputs during actual reporting.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4.4  Document Formatting Rules</w:t>
      </w:r>
    </w:p>
    <w:p>
      <w:r>
        <w:rPr>
          <w:rFonts w:ascii="Times New Roman" w:hAnsi="Times New Roman"/>
          <w:sz w:val="22"/>
        </w:rPr>
        <w:t>Tables use the three-line table format (三线表) with no vertical gridlines and no internal horizontal gridlines between body rows.</w:t>
      </w:r>
    </w:p>
    <w:p>
      <w:r>
        <w:rPr>
          <w:rFonts w:ascii="Times New Roman" w:hAnsi="Times New Roman"/>
          <w:sz w:val="22"/>
        </w:rPr>
        <w:t>All shell header and body cells are left-aligned to preserve review readability and consistent shell semantics.</w:t>
      </w:r>
    </w:p>
    <w:p>
      <w:r>
        <w:rPr>
          <w:rFonts w:ascii="Times New Roman" w:hAnsi="Times New Roman"/>
          <w:sz w:val="22"/>
        </w:rPr>
        <w:t>Each TFL page includes sponsor, protocol, title, analysis set, and page numbering in the header block.</w:t>
      </w:r>
    </w:p>
    <w:p>
      <w:r>
        <w:rPr>
          <w:rFonts w:ascii="Times New Roman" w:hAnsi="Times New Roman"/>
          <w:sz w:val="22"/>
        </w:rPr>
        <w:t>The main DOCX and SOP use Word-native automatic Table of Contents fields. Users must update fields in Word after opening the document to populate the TOC.</w:t>
      </w:r>
    </w:p>
    <w:p>
      <w:r>
        <w:rPr>
          <w:rFonts w:ascii="Times New Roman" w:hAnsi="Times New Roman"/>
          <w:sz w:val="22"/>
        </w:rPr>
        <w:t>Each TFL should remain on one page when reasonably possible through spacing control and layout tuning; this is a best-effort formatting rule rather than an absolute guarantee for every shell.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4.5  Workbook Usage</w:t>
      </w:r>
    </w:p>
    <w:p>
      <w:r>
        <w:rPr>
          <w:rFonts w:ascii="Times New Roman" w:hAnsi="Times New Roman"/>
          <w:sz w:val="22"/>
        </w:rPr>
        <w:t>The XLSX workbook functions as a catalog and usage guide, not as a workflow tracker.</w:t>
      </w:r>
    </w:p>
    <w:p>
      <w:r>
        <w:rPr>
          <w:rFonts w:ascii="Times New Roman" w:hAnsi="Times New Roman"/>
          <w:sz w:val="22"/>
        </w:rPr>
        <w:t>It contains the master TFL inventory, section-level sheets, field definitions, usage guidance, and a controlled change log.</w:t>
      </w:r>
    </w:p>
    <w:p>
      <w:r>
        <w:rPr>
          <w:rFonts w:ascii="Times New Roman" w:hAnsi="Times New Roman"/>
          <w:sz w:val="22"/>
        </w:rPr>
        <w:t>The workbook should retain both internal IDs for traceability and reviewer-facing display labels for presentation consistency with the DOCX shell template.</w:t>
      </w:r>
    </w:p>
    <w:p>
      <w:r>
        <w:rPr>
          <w:rFonts w:ascii="Times New Roman" w:hAnsi="Times New Roman"/>
          <w:sz w:val="22"/>
        </w:rPr>
        <w:t>Applicability labels must clearly distinguish general, oncology-only, and non-oncology-only shells, and those labels guide shell selection for a specific study.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4.6  TFL ID and File Naming Conventions</w:t>
      </w:r>
    </w:p>
    <w:p>
      <w:r>
        <w:rPr>
          <w:rFonts w:ascii="Times New Roman" w:hAnsi="Times New Roman"/>
          <w:sz w:val="22"/>
        </w:rPr>
        <w:t>TFL IDs use the pattern [Type][Section].[Sequence], where Type is T, F, or L.</w:t>
      </w:r>
    </w:p>
    <w:p>
      <w:r>
        <w:rPr>
          <w:rFonts w:ascii="Times New Roman" w:hAnsi="Times New Roman"/>
          <w:sz w:val="22"/>
        </w:rPr>
        <w:t>Reviewer-facing output labels omit the leading type letter from the numeric portion and render as forms such as Table 14.2.11, Figure 14.2.4, or Listing 16.2.3.</w:t>
      </w:r>
    </w:p>
    <w:p>
      <w:r>
        <w:rPr>
          <w:rFonts w:ascii="Times New Roman" w:hAnsi="Times New Roman"/>
          <w:sz w:val="22"/>
        </w:rPr>
        <w:t>Approved section values in the master shell are 14.1, 14.2, 14.3, 14.4, and 16.2.</w:t>
      </w:r>
    </w:p>
    <w:p>
      <w:r>
        <w:rPr>
          <w:rFonts w:ascii="Times New Roman" w:hAnsi="Times New Roman"/>
          <w:sz w:val="22"/>
        </w:rPr>
        <w:t>Generated master deliverables follow controlled names such as TFL_Shell_Template, TFL_TOC, and TFL_Shell_SOP with the current version suffix.</w:t>
      </w:r>
    </w:p>
    <w:p>
      <w:r>
        <w:rPr>
          <w:rFonts w:ascii="Times New Roman" w:hAnsi="Times New Roman"/>
          <w:sz w:val="22"/>
        </w:rPr>
        <w:t>Study-specific derivative files may prepend the protocol identifier while preserving version traceability.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4.7  Version Control and Change Management</w:t>
      </w:r>
    </w:p>
    <w:p>
      <w:r>
        <w:rPr>
          <w:rFonts w:ascii="Times New Roman" w:hAnsi="Times New Roman"/>
          <w:sz w:val="22"/>
        </w:rPr>
        <w:t>Template-level updates must be recorded in the Change_Log sheet of the XLSX workbook.</w:t>
      </w:r>
    </w:p>
    <w:p>
      <w:r>
        <w:rPr>
          <w:rFonts w:ascii="Times New Roman" w:hAnsi="Times New Roman"/>
          <w:sz w:val="22"/>
        </w:rPr>
        <w:t>Changes that affect scope, numbering, shell wording, traceability notes, or formatting conventions require versioned release control.</w:t>
      </w:r>
    </w:p>
    <w:p>
      <w:r>
        <w:rPr>
          <w:rFonts w:ascii="Times New Roman" w:hAnsi="Times New Roman"/>
          <w:sz w:val="22"/>
        </w:rPr>
        <w:t>Superseded deliverables should be retained according to the organization's document retention policy.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5.  REFERENCES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5.1  Regulatory and Industry References</w:t>
      </w:r>
    </w:p>
    <w:p>
      <w:r>
        <w:rPr>
          <w:rFonts w:ascii="Times New Roman" w:hAnsi="Times New Roman"/>
          <w:sz w:val="22"/>
        </w:rPr>
        <w:t>ICH E3: Structure and Content of Clinical Study Reports.</w:t>
      </w:r>
    </w:p>
    <w:p>
      <w:r>
        <w:rPr>
          <w:rFonts w:ascii="Times New Roman" w:hAnsi="Times New Roman"/>
          <w:sz w:val="22"/>
        </w:rPr>
        <w:t>ICH E9 and ICH E9(R1): Statistical principles and estimand guidance for clinical trials.</w:t>
      </w:r>
    </w:p>
    <w:p>
      <w:r>
        <w:rPr>
          <w:rFonts w:ascii="Times New Roman" w:hAnsi="Times New Roman"/>
          <w:sz w:val="22"/>
        </w:rPr>
        <w:t>CDISC ADaM and SDTM implementation guidance, current approved versions.</w:t>
      </w:r>
    </w:p>
    <w:p>
      <w:r>
        <w:rPr>
          <w:rFonts w:ascii="Times New Roman" w:hAnsi="Times New Roman"/>
          <w:sz w:val="22"/>
        </w:rPr>
        <w:t>Applicable coding dictionaries and company programming standards used by the study team.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6.  APPENDICES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Appendix A  Companion Workbook</w:t>
      </w:r>
    </w:p>
    <w:p>
      <w:r>
        <w:rPr>
          <w:rFonts w:ascii="Times New Roman" w:hAnsi="Times New Roman"/>
          <w:sz w:val="22"/>
        </w:rPr>
        <w:t>Refer to the generated XLSX workbook for the governed TFL inventory, field definitions, and usage guidance.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Appendix B  Shell Output Notes</w:t>
      </w:r>
    </w:p>
    <w:p>
      <w:r>
        <w:rPr>
          <w:rFonts w:ascii="Times New Roman" w:hAnsi="Times New Roman"/>
          <w:sz w:val="22"/>
        </w:rPr>
        <w:t>Representative table, figure, and listing shells in the DOCX template demonstrate formatting, placeholder conventions, and traceability structure only.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SOP: TFL Shell Template Usage and Management</dc:title>
  <dc:subject>Standard Operating Procedure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SOP</cp:category>
  <cp:version>2.0</cp:version>
</cp:coreProperties>
</file>