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color w:val="003366"/>
          <w:sz w:val="48"/>
        </w:rPr>
        <w:t>Clinical Study Report</w:t>
        <w:br/>
        <w:t>TFL Shell Template</w:t>
      </w:r>
    </w:p>
    <w:p/>
    <w:p>
      <w:pPr>
        <w:jc w:val="center"/>
      </w:pPr>
      <w:r>
        <w:rPr>
          <w:rFonts w:ascii="Times New Roman" w:hAnsi="Times New Roman"/>
          <w:sz w:val="24"/>
        </w:rPr>
        <w:t>Tables, Figures, and Listings</w:t>
        <w:br/>
        <w:t>ICH E3 Sections 14.1 / 14.2 / 14.3 / 14.4 / 16.2</w:t>
        <w:br/>
        <w:br/>
        <w:t>Automatic Word TOC | Three-Line Table Format (三线表)</w:t>
        <w:br/>
        <w:t>Embedded Clinical Figures | Dataset Traceability</w:t>
      </w:r>
    </w:p>
    <w:p/>
    <w:p>
      <w:pPr>
        <w:jc w:val="center"/>
      </w:pPr>
      <w:r>
        <w:rPr>
          <w:rFonts w:ascii="Times New Roman" w:hAnsi="Times New Roman"/>
          <w:sz w:val="22"/>
        </w:rPr>
        <w:t>Version: 2.1.0</w:t>
      </w:r>
    </w:p>
    <w:p>
      <w:pPr>
        <w:jc w:val="center"/>
      </w:pPr>
      <w:r>
        <w:rPr>
          <w:rFonts w:ascii="Times New Roman" w:hAnsi="Times New Roman"/>
          <w:sz w:val="22"/>
        </w:rPr>
        <w:t>Date: 14 August 2026</w:t>
      </w:r>
    </w:p>
    <w:p>
      <w:pPr>
        <w:jc w:val="center"/>
      </w:pPr>
      <w:r>
        <w:rPr>
          <w:rFonts w:ascii="Times New Roman" w:hAnsi="Times New Roman"/>
          <w:sz w:val="22"/>
        </w:rPr>
        <w:t>Classification: CONFIDENTIAL</w:t>
      </w:r>
    </w:p>
    <w:p>
      <w:pPr>
        <w:jc w:val="center"/>
      </w:pPr>
    </w:p>
    <w:p>
      <w:pPr>
        <w:jc w:val="center"/>
      </w:pPr>
      <w:r>
        <w:rPr>
          <w:rFonts w:ascii="Times New Roman" w:hAnsi="Times New Roman"/>
          <w:sz w:val="22"/>
        </w:rPr>
        <w:t>Applicable to: Oncology and Non-Oncology Clinical Studies</w:t>
      </w:r>
    </w:p>
    <w:p>
      <w:pPr>
        <w:jc w:val="center"/>
      </w:pPr>
      <w:r>
        <w:rPr>
          <w:rFonts w:ascii="Times New Roman" w:hAnsi="Times New Roman"/>
          <w:sz w:val="22"/>
        </w:rPr>
        <w:t>Template Type: Master Shell — No Patient Data</w:t>
      </w:r>
    </w:p>
    <w:p>
      <w:r>
        <w:br w:type="page"/>
      </w:r>
    </w:p>
    <w:p>
      <w:pPr>
        <w:pStyle w:val="Heading1"/>
      </w:pPr>
      <w:r>
        <w:t>Table of Contents</w:t>
      </w:r>
    </w:p>
    <w:p>
      <w:pPr>
        <w:spacing w:before="120" w:after="240"/>
      </w:pPr>
      <w:r>
        <w:fldChar w:fldCharType="begin"/>
      </w:r>
      <w:r>
        <w:instrText xml:space="preserve">TOC \o "1-4" \h \z \u</w:instrText>
      </w:r>
      <w:r>
        <w:fldChar w:fldCharType="separate"/>
      </w:r>
      <w:r>
        <w:fldChar w:fldCharType="end"/>
      </w:r>
    </w:p>
    <w:p>
      <w:pPr>
        <w:spacing w:before="0" w:after="240"/>
      </w:pPr>
      <w:r>
        <w:rPr>
          <w:rFonts w:ascii="Times New Roman" w:hAnsi="Times New Roman"/>
          <w:i/>
          <w:sz w:val="16"/>
        </w:rPr>
        <w:t>[To update: right-click the Table of Contents above and select 'Update Field', then 'Update entire table']</w:t>
      </w:r>
    </w:p>
    <w:p>
      <w:r>
        <w:br w:type="page"/>
      </w:r>
    </w:p>
    <w:p>
      <w:pPr>
        <w:pStyle w:val="Heading1"/>
      </w:pPr>
      <w:r>
        <w:t>1.0  Introduction and Usage Notes</w:t>
      </w:r>
    </w:p>
    <w:p>
      <w:r>
        <w:t>This document is the master TFL (Tables, Figures, and Listings) shell template for clinical study reports covering CSR Sections 14.1, 14.2, 14.3, 14.4, and 16.2. Each shell includes a sponsor/protocol header block, descriptive title, analysis population, shell-first table/listing structure or simulated figure, and traceability footnotes. No actual study results are included in this template.</w:t>
      </w:r>
    </w:p>
    <w:p>
      <w:pPr>
        <w:pStyle w:val="Heading2"/>
      </w:pPr>
      <w:r>
        <w:t>1.1  Table and Listing Shell Conventions</w:t>
      </w:r>
    </w:p>
    <w:p>
      <w:r>
        <w:t>All tables and listings use shell-first structure. The first column preserves the example row labels, categories, or subject-structure identifiers needed to show the intended layout. Non-structural cells use style-appropriate shell placeholders such as XX, xx (xx.x), x.xxx, or CI-style formats rather than mock numeric or subject-level results. Controlled tables use `Group 1`, `Group 2`, and an optional separate ellipsis (`...`) expansion column; that expansion column must never be merged with Overall, HR, Total, or other analytic columns. Tables use the standard three-line table format (三线表) and should auto-fit within the page.</w:t>
      </w:r>
    </w:p>
    <w:p>
      <w:pPr>
        <w:pStyle w:val="Heading2"/>
      </w:pPr>
      <w:r>
        <w:t>1.2  How to Use This Template</w:t>
      </w:r>
    </w:p>
    <w:p>
      <w:r>
        <w:t>1. Select applicable TFLs using the companion XLSX catalog workbook.</w:t>
        <w:br/>
        <w:t>2. Replace bracketed metadata placeholders such as sponsor and protocol details.</w:t>
        <w:br/>
        <w:t>3. Keep general shells plus only the oncology-only or non-oncology-only shells that apply to the study.</w:t>
        <w:br/>
        <w:t>4. Verify titles, headers, placeholders, and footnotes against the protocol, SAP, and shell standards.</w:t>
        <w:br/>
        <w:t>5. In Word, update the Table of Contents field to populate headings.</w:t>
        <w:br/>
        <w:t>6. Use the shells as governance-ready templates for downstream programming and review.</w:t>
      </w:r>
    </w:p>
    <w:p>
      <w:pPr>
        <w:pStyle w:val="Heading2"/>
      </w:pPr>
      <w:r>
        <w:t>1.3  Figure Shells</w:t>
      </w:r>
    </w:p>
    <w:p>
      <w:r>
        <w:t>Figures retain simulated illustrations generated by matplotlib so the output shows expected visual layout for Kaplan-Meier curves, waterfall plots, spider plots, swimmer plots, forest plots, box plots, and longitudinal plots. These images are for shell illustration only and must be replaced with study-specific outputs in production. Page layout is optimized to keep each figure shell on one page when reasonably possible, but this remains a best-effort rule.</w:t>
      </w:r>
    </w:p>
    <w:p>
      <w:r>
        <w:br w:type="page"/>
      </w:r>
    </w:p>
    <w:p>
      <w:pPr>
        <w:pStyle w:val="Heading2"/>
      </w:pPr>
      <w:r>
        <w:t>14.1  Demographics and Baseline Characteristics</w:t>
      </w:r>
    </w:p>
    <w:p>
      <w:pPr>
        <w:pStyle w:val="Heading3"/>
        <w:spacing w:before="120" w:after="80"/>
      </w:pPr>
      <w:r>
        <w:rPr>
          <w:rFonts w:ascii="Times New Roman" w:hAnsi="Times New Roman"/>
          <w:b/>
          <w:color w:val="003366"/>
          <w:sz w:val="22"/>
        </w:rPr>
        <w:t>Tables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  Summary of Demographic Characteristics</w:t>
      </w:r>
      <w:r>
        <w:bookmarkStart w:id="0" w:name="T14.1.1"/>
        <w:bookmarkEnd w:id="0"/>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 /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Age (years)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n</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w:t>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0" w:after="20" w:line="240" w:lineRule="exact"/>
              <w:jc w:val="left"/>
            </w:pPr>
            <w:r>
              <w:rPr>
                <w:rFonts w:ascii="Times New Roman" w:hAnsi="Times New Roman"/>
                <w:b w:val="0"/>
                <w:sz w:val="18"/>
              </w:rPr>
              <w:t xml:space="preserve">      Median (Min, Max)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 xx)</w:t>
            </w:r>
          </w:p>
        </w:tc>
      </w:tr>
      <w:tr>
        <w:tc>
          <w:tcPr>
            <w:tcW w:type="dxa" w:w="2736"/>
          </w:tcPr>
          <w:p>
            <w:pPr>
              <w:spacing w:before="120" w:after="20" w:line="240" w:lineRule="exact"/>
              <w:jc w:val="left"/>
            </w:pPr>
            <w:r>
              <w:rPr>
                <w:rFonts w:ascii="Times New Roman" w:hAnsi="Times New Roman"/>
                <w:b/>
                <w:sz w:val="18"/>
              </w:rPr>
              <w:t>Age Group</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&lt; 65 years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&gt;= 65 years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Sex</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Male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Female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Race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White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Black or African American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Asian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Other</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Ethnicity</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Hispanic or Latino</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Not Hispanic or Latino</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Weight (kg)</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Height (cm)</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BMI (kg/m²)</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w:t>
      </w:r>
    </w:p>
    <w:p>
      <w:pPr>
        <w:spacing w:before="0" w:after="0"/>
      </w:pPr>
      <w:r>
        <w:rPr>
          <w:rFonts w:ascii="Times New Roman" w:hAnsi="Times New Roman"/>
          <w:i/>
          <w:sz w:val="16"/>
        </w:rPr>
        <w:t>[2] Percentages based on number of subjects in each treatment group.</w:t>
      </w:r>
    </w:p>
    <w:p>
      <w:pPr>
        <w:spacing w:before="0" w:after="0"/>
      </w:pPr>
      <w:r>
        <w:rPr>
          <w:rFonts w:ascii="Times New Roman" w:hAnsi="Times New Roman"/>
          <w:i/>
          <w:sz w:val="16"/>
        </w:rPr>
        <w:t>[3] Age calculated relative to date of informed consent.</w:t>
      </w:r>
    </w:p>
    <w:p>
      <w:pPr>
        <w:spacing w:before="0" w:after="0"/>
      </w:pPr>
      <w:r>
        <w:rPr>
          <w:rFonts w:ascii="Times New Roman" w:hAnsi="Times New Roman"/>
          <w:i/>
          <w:sz w:val="16"/>
        </w:rPr>
        <w:t>[4] Abbreviations: BMI = body mass index; ITT = intent-to-treat; SD = standard deviation.</w:t>
      </w:r>
    </w:p>
    <w:p>
      <w:pPr>
        <w:spacing w:before="0" w:after="0"/>
      </w:pPr>
      <w:r>
        <w:rPr>
          <w:rFonts w:ascii="Times New Roman" w:hAnsi="Times New Roman"/>
          <w:i/>
          <w:sz w:val="16"/>
        </w:rPr>
        <w:t>[5] Statistical definitions: Descriptive statistics are calculated from non-missing observations unless the SAP states otherwise.</w:t>
      </w:r>
    </w:p>
    <w:p>
      <w:pPr>
        <w:spacing w:before="0" w:after="0"/>
      </w:pPr>
      <w:r>
        <w:rPr>
          <w:rFonts w:ascii="Times New Roman" w:hAnsi="Times New Roman"/>
          <w:i/>
          <w:sz w:val="16"/>
        </w:rPr>
        <w:t>[6] Dataset: ADSL. Program: t_demog_summary.sas.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14.1.2  Summary of Baseline Oncology Disease Characteristics</w:t>
      </w:r>
      <w:r>
        <w:bookmarkStart w:id="0" w:name="T14.1.2"/>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 /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20" w:after="20" w:line="240" w:lineRule="exact"/>
              <w:jc w:val="left"/>
            </w:pPr>
            <w:r>
              <w:rPr>
                <w:rFonts w:ascii="Times New Roman" w:hAnsi="Times New Roman"/>
                <w:b w:val="0"/>
                <w:sz w:val="18"/>
              </w:rPr>
              <w:t>ECOG Performance Status, n (%)</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0 — Fully active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1 — Restricted in strenuous activity</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2 — Ambulatory, unable to work</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Disease Stage, n (%)</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Stage III</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Stage IV</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Time Since Initial Diagnosis (months)</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Mean (SD)</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w:t>
      </w:r>
    </w:p>
    <w:p>
      <w:pPr>
        <w:spacing w:before="0" w:after="0"/>
      </w:pPr>
      <w:r>
        <w:rPr>
          <w:rFonts w:ascii="Times New Roman" w:hAnsi="Times New Roman"/>
          <w:i/>
          <w:sz w:val="16"/>
        </w:rPr>
        <w:t>[2] Baseline = last non-missing assessment on/before first dose.</w:t>
      </w:r>
    </w:p>
    <w:p>
      <w:pPr>
        <w:spacing w:before="0" w:after="0"/>
      </w:pPr>
      <w:r>
        <w:rPr>
          <w:rFonts w:ascii="Times New Roman" w:hAnsi="Times New Roman"/>
          <w:i/>
          <w:sz w:val="16"/>
        </w:rPr>
        <w:t>[3] ECOG PS: 0=Fully active, 1=Restricted, 2=Ambulatory, 3=Limited self-care, 4=Completely disabled.</w:t>
      </w:r>
    </w:p>
    <w:p>
      <w:pPr>
        <w:spacing w:before="0" w:after="0"/>
      </w:pPr>
      <w:r>
        <w:rPr>
          <w:rFonts w:ascii="Times New Roman" w:hAnsi="Times New Roman"/>
          <w:i/>
          <w:sz w:val="16"/>
        </w:rPr>
        <w:t>[4] Abbreviations: ECOG = Eastern Cooperative Oncology Group; ITT = intent-to-treat; SD = standard deviation.</w:t>
      </w:r>
    </w:p>
    <w:p>
      <w:pPr>
        <w:spacing w:before="0" w:after="0"/>
      </w:pPr>
      <w:r>
        <w:rPr>
          <w:rFonts w:ascii="Times New Roman" w:hAnsi="Times New Roman"/>
          <w:i/>
          <w:sz w:val="16"/>
        </w:rPr>
        <w:t>[5] Statistical definitions: Percentages use the stated analysis population within each treatment group unless otherwise specified. Descriptive statistics are calculated from non-missing observations unless the SAP states otherwise.</w:t>
      </w:r>
    </w:p>
    <w:p>
      <w:pPr>
        <w:spacing w:before="0" w:after="0"/>
      </w:pPr>
      <w:r>
        <w:rPr>
          <w:rFonts w:ascii="Times New Roman" w:hAnsi="Times New Roman"/>
          <w:i/>
          <w:sz w:val="16"/>
        </w:rPr>
        <w:t>[6] Dataset: ADSL, ADRS. Program: t_baseline_chars.sas.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14.1.3  Summary of Medical History by System Organ Class and Preferred Term</w:t>
      </w:r>
      <w:r>
        <w:bookmarkStart w:id="0" w:name="T14.1.3"/>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w:t>
            </w:r>
          </w:p>
          <w:p>
            <w:pPr>
              <w:spacing w:before="0" w:after="0"/>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Any Medical History Condition</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120" w:after="20" w:line="240" w:lineRule="exact"/>
              <w:jc w:val="left"/>
            </w:pPr>
            <w:r>
              <w:rPr>
                <w:rFonts w:ascii="Times New Roman" w:hAnsi="Times New Roman"/>
                <w:b/>
                <w:sz w:val="18"/>
              </w:rPr>
              <w:t>Vascular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Hypertension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Hypotension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Cardiac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Coronary Artery Disease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Gastroesophageal reflux disease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Constipation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Metabolism and nutrition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Diabetes mellitus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Hyperlipidemia</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L16.2.13</w:t>
      </w:r>
    </w:p>
    <w:p>
      <w:pPr>
        <w:spacing w:before="0" w:after="0"/>
      </w:pPr>
      <w:r>
        <w:rPr>
          <w:rFonts w:ascii="Times New Roman" w:hAnsi="Times New Roman"/>
          <w:i/>
          <w:sz w:val="16"/>
        </w:rPr>
        <w:t>[2] used for coding medical history terms.</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ADMH. Program: t_mh_soc_pt.sas.</w:t>
      </w:r>
    </w:p>
    <w:p>
      <w:pPr>
        <w:spacing w:before="0" w:after="0"/>
      </w:pPr>
      <w:r>
        <w:rPr>
          <w:rFonts w:ascii="Times New Roman" w:hAnsi="Times New Roman"/>
          <w:i/>
          <w:sz w:val="16"/>
        </w:rPr>
        <w:t>[5]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14.1.4  Summary of Prior Medications by ATC Class and Preferred Name</w:t>
      </w:r>
      <w:r>
        <w:bookmarkStart w:id="0" w:name="T14.1.4"/>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ATC Level 3</w:t>
            </w:r>
          </w:p>
          <w:p>
            <w:pPr>
              <w:spacing w:before="0" w:after="0"/>
              <w:jc w:val="left"/>
            </w:pPr>
            <w:r>
              <w:rPr>
                <w:rFonts w:ascii="Times New Roman" w:hAnsi="Times New Roman"/>
                <w:b/>
                <w:sz w:val="18"/>
              </w:rPr>
              <w:t>Preferred Name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Any Prior Medication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Drugs for acid-related disorders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Omeprazole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Pantoprazole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Antibacterials for systemic use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L16.2.6</w:t>
      </w:r>
    </w:p>
    <w:p>
      <w:pPr>
        <w:spacing w:before="0" w:after="0"/>
      </w:pPr>
      <w:r>
        <w:rPr>
          <w:rFonts w:ascii="Times New Roman" w:hAnsi="Times New Roman"/>
          <w:i/>
          <w:sz w:val="16"/>
        </w:rPr>
        <w:t>[2] WHO Drug Dictionary [version] used for medication coding.</w:t>
      </w:r>
    </w:p>
    <w:p>
      <w:pPr>
        <w:spacing w:before="0" w:after="0"/>
      </w:pPr>
      <w:r>
        <w:rPr>
          <w:rFonts w:ascii="Times New Roman" w:hAnsi="Times New Roman"/>
          <w:i/>
          <w:sz w:val="16"/>
        </w:rPr>
        <w:t>[3] Abbreviations: ATC = Anatomical Therapeutic Chemical; WHO = World Health Organization.</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ADCM. Program: t_prior_meds.sas.</w:t>
      </w:r>
    </w:p>
    <w:p>
      <w:pPr>
        <w:spacing w:before="0" w:after="0"/>
      </w:pPr>
      <w:r>
        <w:rPr>
          <w:rFonts w:ascii="Times New Roman" w:hAnsi="Times New Roman"/>
          <w:i/>
          <w:sz w:val="16"/>
        </w:rPr>
        <w:t>[6] Coding dictionary: WHO-DD [version].</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14.1.5  Subject Disposition</w:t>
      </w:r>
      <w:r>
        <w:bookmarkStart w:id="0" w:name="T14.1.5"/>
        <w:bookmarkEnd w:id="0"/>
      </w:r>
    </w:p>
    <w:p>
      <w:pPr>
        <w:keepNext/>
        <w:spacing w:before="40" w:after="160"/>
      </w:pPr>
      <w:r>
        <w:rPr>
          <w:rFonts w:ascii="Times New Roman" w:hAnsi="Times New Roman"/>
          <w:i/>
          <w:sz w:val="18"/>
        </w:rPr>
        <w:t>Analysis Set: All Randomized Subjects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Subjects Screened</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w:t>
            </w:r>
          </w:p>
        </w:tc>
      </w:tr>
      <w:tr>
        <w:tc>
          <w:tcPr>
            <w:tcW w:type="dxa" w:w="2736"/>
          </w:tcPr>
          <w:p>
            <w:pPr>
              <w:spacing w:before="120" w:after="20" w:line="240" w:lineRule="exact"/>
              <w:jc w:val="left"/>
            </w:pPr>
            <w:r>
              <w:rPr>
                <w:rFonts w:ascii="Times New Roman" w:hAnsi="Times New Roman"/>
                <w:b/>
                <w:sz w:val="18"/>
              </w:rPr>
              <w:t>Subjects Randomized</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120" w:after="20" w:line="240" w:lineRule="exact"/>
              <w:jc w:val="left"/>
            </w:pPr>
            <w:r>
              <w:rPr>
                <w:rFonts w:ascii="Times New Roman" w:hAnsi="Times New Roman"/>
                <w:b/>
                <w:sz w:val="18"/>
              </w:rPr>
              <w:t>Subjects Treated (&gt;=1 dose)</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20" w:after="20" w:line="240" w:lineRule="exact"/>
              <w:jc w:val="left"/>
            </w:pPr>
            <w:r>
              <w:rPr>
                <w:rFonts w:ascii="Times New Roman" w:hAnsi="Times New Roman"/>
                <w:b w:val="0"/>
                <w:sz w:val="18"/>
              </w:rPr>
              <w:t>Completed Treatment</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Discontinued Treatment</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Adverse Event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Death</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Progressive Disease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Withdrawal by Subject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Physician Decision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Protocol Violation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Lost to Follow-up</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w:t>
      </w:r>
    </w:p>
    <w:p>
      <w:pPr>
        <w:spacing w:before="0" w:after="0"/>
      </w:pPr>
      <w:r>
        <w:rPr>
          <w:rFonts w:ascii="Times New Roman" w:hAnsi="Times New Roman"/>
          <w:i/>
          <w:sz w:val="16"/>
        </w:rPr>
        <w:t>[2] Percentages: N=treated per arm for discontinuation reasons.</w:t>
      </w:r>
    </w:p>
    <w:p>
      <w:pPr>
        <w:spacing w:before="0" w:after="0"/>
      </w:pPr>
      <w:r>
        <w:rPr>
          <w:rFonts w:ascii="Times New Roman" w:hAnsi="Times New Roman"/>
          <w:i/>
          <w:sz w:val="16"/>
        </w:rPr>
        <w:t>[3] Primary reason for discontinuation per CRF EOT page.</w:t>
      </w:r>
    </w:p>
    <w:p>
      <w:pPr>
        <w:spacing w:before="0" w:after="0"/>
      </w:pPr>
      <w:r>
        <w:rPr>
          <w:rFonts w:ascii="Times New Roman" w:hAnsi="Times New Roman"/>
          <w:i/>
          <w:sz w:val="16"/>
        </w:rPr>
        <w:t>[4] Abbreviations: EOT = end of treatment.</w:t>
      </w:r>
    </w:p>
    <w:p>
      <w:pPr>
        <w:spacing w:before="0" w:after="0"/>
      </w:pPr>
      <w:r>
        <w:rPr>
          <w:rFonts w:ascii="Times New Roman" w:hAnsi="Times New Roman"/>
          <w:i/>
          <w:sz w:val="16"/>
        </w:rPr>
        <w:t>[5] Statistical definitions: Percentages use the stated analysis population within each treatment group unless otherwise specified.</w:t>
      </w:r>
    </w:p>
    <w:p>
      <w:pPr>
        <w:spacing w:before="0" w:after="0"/>
      </w:pPr>
      <w:r>
        <w:rPr>
          <w:rFonts w:ascii="Times New Roman" w:hAnsi="Times New Roman"/>
          <w:i/>
          <w:sz w:val="16"/>
        </w:rPr>
        <w:t>[6] Dataset: ADSL. Program: t_disposition.sas.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14.1.6  Major Protocol Deviations</w:t>
      </w:r>
      <w:r>
        <w:bookmarkStart w:id="0" w:name="T14.1.6"/>
        <w:bookmarkEnd w:id="0"/>
      </w:r>
    </w:p>
    <w:p>
      <w:pPr>
        <w:keepNext/>
        <w:spacing w:before="40" w:after="160"/>
      </w:pPr>
      <w:r>
        <w:rPr>
          <w:rFonts w:ascii="Times New Roman" w:hAnsi="Times New Roman"/>
          <w:i/>
          <w:sz w:val="18"/>
        </w:rPr>
        <w:t>Analysis Set: All Randomized Subjects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Any Major Protocol Deviation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Inclusion/Exclusion Criteria Not Met</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Received Wrong Treatment/Incorrect Dose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Missed &gt;=2 Consecutive Efficacy Assessments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w:t>
      </w:r>
    </w:p>
    <w:p>
      <w:pPr>
        <w:spacing w:before="0" w:after="0"/>
      </w:pPr>
      <w:r>
        <w:rPr>
          <w:rFonts w:ascii="Times New Roman" w:hAnsi="Times New Roman"/>
          <w:i/>
          <w:sz w:val="16"/>
        </w:rPr>
        <w:t>[2] Statistical definitions: Percentages use the stated analysis population within each treatment group unless otherwise specified.</w:t>
      </w:r>
    </w:p>
    <w:p>
      <w:pPr>
        <w:spacing w:before="0" w:after="0"/>
      </w:pPr>
      <w:r>
        <w:rPr>
          <w:rFonts w:ascii="Times New Roman" w:hAnsi="Times New Roman"/>
          <w:i/>
          <w:sz w:val="16"/>
        </w:rPr>
        <w:t>[3] Dataset: ADSL, DV. Program: t_prot_dev.sas.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14.1.7  Analysis Populations</w:t>
      </w:r>
      <w:r>
        <w:bookmarkStart w:id="0" w:name="T14.1.7"/>
        <w:bookmarkEnd w:id="0"/>
      </w:r>
    </w:p>
    <w:p>
      <w:pPr>
        <w:keepNext/>
        <w:spacing w:before="40" w:after="160"/>
      </w:pPr>
      <w:r>
        <w:rPr>
          <w:rFonts w:ascii="Times New Roman" w:hAnsi="Times New Roman"/>
          <w:i/>
          <w:sz w:val="18"/>
        </w:rPr>
        <w:t>Analysis Set: All Subjects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Screened</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w:t>
            </w:r>
          </w:p>
        </w:tc>
      </w:tr>
      <w:tr>
        <w:tc>
          <w:tcPr>
            <w:tcW w:type="dxa" w:w="2736"/>
          </w:tcPr>
          <w:p>
            <w:pPr>
              <w:spacing w:before="20" w:after="20" w:line="240" w:lineRule="exact"/>
              <w:jc w:val="left"/>
            </w:pPr>
            <w:r>
              <w:rPr>
                <w:rFonts w:ascii="Times New Roman" w:hAnsi="Times New Roman"/>
                <w:b w:val="0"/>
                <w:sz w:val="18"/>
              </w:rPr>
              <w:t>Randomized</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Intent-to-Treat (ITT)</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Safety Population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Per-Protocol (PP)</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L16.2.12</w:t>
      </w:r>
    </w:p>
    <w:p>
      <w:pPr>
        <w:spacing w:before="0" w:after="0"/>
      </w:pPr>
      <w:r>
        <w:rPr>
          <w:rFonts w:ascii="Times New Roman" w:hAnsi="Times New Roman"/>
          <w:i/>
          <w:sz w:val="16"/>
        </w:rPr>
        <w:t>[2] ITT: All randomized with &gt;=1 dose. Safety: All with &gt;=1 dose. PP: ITT with no major PDs.</w:t>
      </w:r>
    </w:p>
    <w:p>
      <w:pPr>
        <w:spacing w:before="0" w:after="0"/>
      </w:pPr>
      <w:r>
        <w:rPr>
          <w:rFonts w:ascii="Times New Roman" w:hAnsi="Times New Roman"/>
          <w:i/>
          <w:sz w:val="16"/>
        </w:rPr>
        <w:t>[3] Abbreviations: ITT = intent-to-treat; PP = per-protocol.</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Program: t_populations.sas.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14.1.8  Medical History by SOC/PT — Incidence &gt;=2% in Any Arm</w:t>
      </w:r>
      <w:r>
        <w:bookmarkStart w:id="0" w:name="T14.1.8"/>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w:t>
            </w:r>
          </w:p>
          <w:p>
            <w:pPr>
              <w:spacing w:before="0" w:after="0"/>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Gastrointestinal disorders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Gastroesophageal reflux disease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Musculoskeletal disorders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Back pain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L16.2.13</w:t>
      </w:r>
    </w:p>
    <w:p>
      <w:pPr>
        <w:spacing w:before="0" w:after="0"/>
      </w:pPr>
      <w:r>
        <w:rPr>
          <w:rFonts w:ascii="Times New Roman" w:hAnsi="Times New Roman"/>
          <w:i/>
          <w:sz w:val="16"/>
        </w:rPr>
        <w:t>[2] Abbreviations: SOC = system organ class; PT = preferred term.</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ADMH. Program: t_mh_2pct.sas.</w:t>
      </w:r>
    </w:p>
    <w:p>
      <w:pPr>
        <w:spacing w:before="0" w:after="0"/>
      </w:pPr>
      <w:r>
        <w:rPr>
          <w:rFonts w:ascii="Times New Roman" w:hAnsi="Times New Roman"/>
          <w:i/>
          <w:sz w:val="16"/>
        </w:rPr>
        <w:t>[5]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14.1.9  Prior and Concomitant Medications by ATC Level 2 and Preferred Name</w:t>
      </w:r>
      <w:r>
        <w:bookmarkStart w:id="0" w:name="T14.1.9"/>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ATC Level 2</w:t>
            </w:r>
          </w:p>
          <w:p>
            <w:pPr>
              <w:spacing w:before="0" w:after="0"/>
              <w:jc w:val="left"/>
            </w:pPr>
            <w:r>
              <w:rPr>
                <w:rFonts w:ascii="Times New Roman" w:hAnsi="Times New Roman"/>
                <w:b/>
                <w:sz w:val="18"/>
              </w:rPr>
              <w:t>Preferred Name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Prior Medications — Any</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Concomitant Medications — Any</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Drugs for acid-related disorders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Analgesics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L16.2.6</w:t>
      </w:r>
    </w:p>
    <w:p>
      <w:pPr>
        <w:spacing w:before="0" w:after="0"/>
      </w:pPr>
      <w:r>
        <w:rPr>
          <w:rFonts w:ascii="Times New Roman" w:hAnsi="Times New Roman"/>
          <w:i/>
          <w:sz w:val="16"/>
        </w:rPr>
        <w:t>[2] Abbreviations: ATC = Anatomical Therapeutic Chemical.</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ADCM. Program: t_conmed_atc.sas.</w:t>
      </w:r>
    </w:p>
    <w:p>
      <w:pPr>
        <w:spacing w:before="0" w:after="0"/>
      </w:pPr>
      <w:r>
        <w:rPr>
          <w:rFonts w:ascii="Times New Roman" w:hAnsi="Times New Roman"/>
          <w:i/>
          <w:sz w:val="16"/>
        </w:rPr>
        <w:t>[5] Coding dictionary: WHO-DD [version].</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14.1.10  Summary of Study Drug Exposure — Duration, Cycles, Dose Intensity</w:t>
      </w:r>
      <w:r>
        <w:bookmarkStart w:id="0" w:name="T14.1.10"/>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 /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Duration of Exposure (weeks)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n</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w:t>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0" w:after="20" w:line="240" w:lineRule="exact"/>
              <w:jc w:val="left"/>
            </w:pPr>
            <w:r>
              <w:rPr>
                <w:rFonts w:ascii="Times New Roman" w:hAnsi="Times New Roman"/>
                <w:b w:val="0"/>
                <w:sz w:val="18"/>
              </w:rPr>
              <w:t xml:space="preserve">      Median (Min, Max)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 xx)</w:t>
            </w:r>
          </w:p>
        </w:tc>
      </w:tr>
      <w:tr>
        <w:tc>
          <w:tcPr>
            <w:tcW w:type="dxa" w:w="2736"/>
          </w:tcPr>
          <w:p>
            <w:pPr>
              <w:spacing w:before="120" w:after="20" w:line="240" w:lineRule="exact"/>
              <w:jc w:val="left"/>
            </w:pPr>
            <w:r>
              <w:rPr>
                <w:rFonts w:ascii="Times New Roman" w:hAnsi="Times New Roman"/>
                <w:b/>
                <w:sz w:val="18"/>
              </w:rPr>
              <w:t>Number of Cycles Administered</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n</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w:t>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0" w:after="20" w:line="240" w:lineRule="exact"/>
              <w:jc w:val="left"/>
            </w:pPr>
            <w:r>
              <w:rPr>
                <w:rFonts w:ascii="Times New Roman" w:hAnsi="Times New Roman"/>
                <w:b w:val="0"/>
                <w:sz w:val="18"/>
              </w:rPr>
              <w:t xml:space="preserve">      Median (Min, Max)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 xx)</w:t>
            </w:r>
          </w:p>
        </w:tc>
      </w:tr>
      <w:tr>
        <w:tc>
          <w:tcPr>
            <w:tcW w:type="dxa" w:w="2736"/>
          </w:tcPr>
          <w:p>
            <w:pPr>
              <w:spacing w:before="120" w:after="20" w:line="240" w:lineRule="exact"/>
              <w:jc w:val="left"/>
            </w:pPr>
            <w:r>
              <w:rPr>
                <w:rFonts w:ascii="Times New Roman" w:hAnsi="Times New Roman"/>
                <w:b/>
                <w:sz w:val="18"/>
              </w:rPr>
              <w:t>Cumulative Dose (mg)</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xxxx.x (xxx.x)</w:t>
            </w:r>
          </w:p>
        </w:tc>
        <w:tc>
          <w:tcPr>
            <w:tcW w:type="dxa" w:w="2736"/>
          </w:tcPr>
          <w:p>
            <w:pPr>
              <w:spacing w:before="0" w:after="20" w:line="240" w:lineRule="exact"/>
              <w:jc w:val="center"/>
            </w:pPr>
            <w:r>
              <w:rPr>
                <w:rFonts w:ascii="Times New Roman" w:hAnsi="Times New Roman"/>
                <w:b w:val="0"/>
                <w:sz w:val="18"/>
              </w:rPr>
              <w:t>xxxx.x (xxx.x)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xxxx.x (xxx.x)</w:t>
            </w:r>
          </w:p>
        </w:tc>
      </w:tr>
      <w:tr>
        <w:tc>
          <w:tcPr>
            <w:tcW w:type="dxa" w:w="2736"/>
          </w:tcPr>
          <w:p>
            <w:pPr>
              <w:spacing w:before="0" w:after="20" w:line="240" w:lineRule="exact"/>
              <w:jc w:val="left"/>
            </w:pPr>
            <w:r>
              <w:rPr>
                <w:rFonts w:ascii="Times New Roman" w:hAnsi="Times New Roman"/>
                <w:b w:val="0"/>
                <w:sz w:val="18"/>
              </w:rPr>
              <w:t xml:space="preserve">      Median (Min, Max)</w:t>
            </w:r>
          </w:p>
        </w:tc>
        <w:tc>
          <w:tcPr>
            <w:tcW w:type="dxa" w:w="2736"/>
          </w:tcPr>
          <w:p>
            <w:pPr>
              <w:spacing w:before="0" w:after="20" w:line="240" w:lineRule="exact"/>
              <w:jc w:val="center"/>
            </w:pPr>
            <w:r>
              <w:rPr>
                <w:rFonts w:ascii="Times New Roman" w:hAnsi="Times New Roman"/>
                <w:b w:val="0"/>
                <w:sz w:val="18"/>
              </w:rPr>
              <w:t>xxxx.x (xx, xxxx)</w:t>
            </w:r>
          </w:p>
        </w:tc>
        <w:tc>
          <w:tcPr>
            <w:tcW w:type="dxa" w:w="2736"/>
          </w:tcPr>
          <w:p>
            <w:pPr>
              <w:spacing w:before="0" w:after="20" w:line="240" w:lineRule="exact"/>
              <w:jc w:val="center"/>
            </w:pPr>
            <w:r>
              <w:rPr>
                <w:rFonts w:ascii="Times New Roman" w:hAnsi="Times New Roman"/>
                <w:b w:val="0"/>
                <w:sz w:val="18"/>
              </w:rPr>
              <w:t>xxxx.x (xx, xxxx)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xxxx.x (xx, xxxx)</w:t>
            </w:r>
          </w:p>
        </w:tc>
      </w:tr>
      <w:tr>
        <w:tc>
          <w:tcPr>
            <w:tcW w:type="dxa" w:w="2736"/>
          </w:tcPr>
          <w:p>
            <w:pPr>
              <w:spacing w:before="120" w:after="20" w:line="240" w:lineRule="exact"/>
              <w:jc w:val="left"/>
            </w:pPr>
            <w:r>
              <w:rPr>
                <w:rFonts w:ascii="Times New Roman" w:hAnsi="Times New Roman"/>
                <w:b/>
                <w:sz w:val="18"/>
              </w:rPr>
              <w:t>Relative Dose Intensity (%)</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n</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w:t>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0" w:after="20" w:line="240" w:lineRule="exact"/>
              <w:jc w:val="left"/>
            </w:pPr>
            <w:r>
              <w:rPr>
                <w:rFonts w:ascii="Times New Roman" w:hAnsi="Times New Roman"/>
                <w:b w:val="0"/>
                <w:sz w:val="18"/>
              </w:rPr>
              <w:t xml:space="preserve">      Median (Min, Max)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 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L16.2.12</w:t>
      </w:r>
    </w:p>
    <w:p>
      <w:pPr>
        <w:spacing w:before="0" w:after="0"/>
      </w:pPr>
      <w:r>
        <w:rPr>
          <w:rFonts w:ascii="Times New Roman" w:hAnsi="Times New Roman"/>
          <w:i/>
          <w:sz w:val="16"/>
        </w:rPr>
        <w:t>[2] Abbreviations: SD = standard deviation.</w:t>
      </w:r>
    </w:p>
    <w:p>
      <w:pPr>
        <w:spacing w:before="0" w:after="0"/>
      </w:pPr>
      <w:r>
        <w:rPr>
          <w:rFonts w:ascii="Times New Roman" w:hAnsi="Times New Roman"/>
          <w:i/>
          <w:sz w:val="16"/>
        </w:rPr>
        <w:t>[3] Statistical definitions: Descriptive statistics are calculated from non-missing observations unless the SAP states otherwise.</w:t>
      </w:r>
    </w:p>
    <w:p>
      <w:pPr>
        <w:spacing w:before="0" w:after="0"/>
      </w:pPr>
      <w:r>
        <w:rPr>
          <w:rFonts w:ascii="Times New Roman" w:hAnsi="Times New Roman"/>
          <w:i/>
          <w:sz w:val="16"/>
        </w:rPr>
        <w:t>[4] Dataset: ADEX. Program: t_exposure_summary.sas.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14.1.11  Summary of Genomic/Biomarker Baseline Characteristics</w:t>
      </w:r>
      <w:r>
        <w:bookmarkStart w:id="0" w:name="T14.1.11"/>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Population with Biomarker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 /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20" w:after="20" w:line="240" w:lineRule="exact"/>
              <w:jc w:val="left"/>
            </w:pPr>
            <w:r>
              <w:rPr>
                <w:rFonts w:ascii="Times New Roman" w:hAnsi="Times New Roman"/>
                <w:b w:val="0"/>
                <w:sz w:val="18"/>
              </w:rPr>
              <w:t>PD-L1 TPS &gt;=50%</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PD-L1 TPS 1-49%</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EGFR Mutation Positive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Abbreviations: ITT = intent-to-treat; EGFR = epidermal growth factor receptor; PD-L1 = programmed death-ligand 1; TPS = tumor proportion score; PD = pharmacodynamic.</w:t>
      </w:r>
    </w:p>
    <w:p>
      <w:pPr>
        <w:spacing w:before="0" w:after="0"/>
      </w:pPr>
      <w:r>
        <w:rPr>
          <w:rFonts w:ascii="Times New Roman" w:hAnsi="Times New Roman"/>
          <w:i/>
          <w:sz w:val="16"/>
        </w:rPr>
        <w:t>[3] Dataset: ADSL, ADBM. Program: t_biomarker_baseline.sas.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14.1.12  Subject Disposition by Country and Site</w:t>
      </w:r>
      <w:r>
        <w:bookmarkStart w:id="0" w:name="T14.1.12"/>
        <w:bookmarkEnd w:id="0"/>
      </w:r>
    </w:p>
    <w:p>
      <w:pPr>
        <w:keepNext/>
        <w:spacing w:before="40" w:after="160"/>
      </w:pPr>
      <w:r>
        <w:rPr>
          <w:rFonts w:ascii="Times New Roman" w:hAnsi="Times New Roman"/>
          <w:i/>
          <w:sz w:val="18"/>
        </w:rPr>
        <w:t>Analysis Set: All Randomized Subjects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Country</w:t>
            </w:r>
          </w:p>
          <w:p>
            <w:pPr>
              <w:spacing w:before="0" w:after="0"/>
              <w:jc w:val="left"/>
            </w:pPr>
            <w:r>
              <w:rPr>
                <w:rFonts w:ascii="Times New Roman" w:hAnsi="Times New Roman"/>
                <w:b/>
                <w:sz w:val="18"/>
              </w:rPr>
              <w:t>Site</w:t>
            </w:r>
          </w:p>
        </w:tc>
        <w:tc>
          <w:tcPr>
            <w:tcW w:type="dxa" w:w="2280"/>
            <w:shd w:fill="F2F2F2" w:val="clear"/>
            <w:tcBorders>
              <w:bottom w:val="single" w:sz="4" w:space="0" w:color="000000"/>
            </w:tcBorders>
          </w:tcPr>
          <w:p>
            <w:pPr>
              <w:spacing w:before="0" w:after="0"/>
              <w:jc w:val="center"/>
            </w:pPr>
            <w:r>
              <w:rPr>
                <w:rFonts w:ascii="Times New Roman" w:hAnsi="Times New Roman"/>
                <w:b/>
                <w:sz w:val="18"/>
              </w:rPr>
              <w:t>Screened</w:t>
            </w:r>
          </w:p>
          <w:p>
            <w:pPr>
              <w:spacing w:before="0" w:after="0"/>
              <w:jc w:val="center"/>
            </w:pPr>
            <w:r>
              <w:rPr>
                <w:rFonts w:ascii="Times New Roman" w:hAnsi="Times New Roman"/>
                <w:b/>
                <w:sz w:val="18"/>
              </w:rPr>
              <w:t>n</w:t>
            </w:r>
          </w:p>
        </w:tc>
        <w:tc>
          <w:tcPr>
            <w:tcW w:type="dxa" w:w="2280"/>
            <w:shd w:fill="F2F2F2" w:val="clear"/>
            <w:tcBorders>
              <w:bottom w:val="single" w:sz="4" w:space="0" w:color="000000"/>
            </w:tcBorders>
          </w:tcPr>
          <w:p>
            <w:pPr>
              <w:spacing w:before="0" w:after="0"/>
              <w:jc w:val="center"/>
            </w:pPr>
            <w:r>
              <w:rPr>
                <w:rFonts w:ascii="Times New Roman" w:hAnsi="Times New Roman"/>
                <w:b/>
                <w:sz w:val="18"/>
              </w:rPr>
              <w:t>Randomized</w:t>
            </w:r>
          </w:p>
          <w:p>
            <w:pPr>
              <w:spacing w:before="0" w:after="0"/>
              <w:jc w:val="center"/>
            </w:pPr>
            <w:r>
              <w:rPr>
                <w:rFonts w:ascii="Times New Roman" w:hAnsi="Times New Roman"/>
                <w:b/>
                <w:sz w:val="18"/>
              </w:rPr>
              <w:t>n</w:t>
            </w:r>
          </w:p>
        </w:tc>
        <w:tc>
          <w:tcPr>
            <w:tcW w:type="dxa" w:w="2280"/>
            <w:shd w:fill="F2F2F2" w:val="clear"/>
            <w:tcBorders>
              <w:bottom w:val="single" w:sz="4" w:space="0" w:color="000000"/>
            </w:tcBorders>
          </w:tcPr>
          <w:p>
            <w:pPr>
              <w:spacing w:before="0" w:after="0"/>
              <w:jc w:val="center"/>
            </w:pPr>
            <w:r>
              <w:rPr>
                <w:rFonts w:ascii="Times New Roman" w:hAnsi="Times New Roman"/>
                <w:b/>
                <w:sz w:val="18"/>
              </w:rPr>
              <w:t>Treated</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Completed</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Discontinued</w:t>
            </w:r>
          </w:p>
          <w:p>
            <w:pPr>
              <w:spacing w:before="0" w:after="0"/>
              <w:jc w:val="center"/>
            </w:pPr>
            <w:r>
              <w:rPr>
                <w:rFonts w:ascii="Times New Roman" w:hAnsi="Times New Roman"/>
                <w:b/>
                <w:sz w:val="18"/>
              </w:rPr>
              <w:t>n (%)</w:t>
            </w:r>
          </w:p>
        </w:tc>
      </w:tr>
      <w:tr>
        <w:tc>
          <w:tcPr>
            <w:tcW w:type="dxa" w:w="2280"/>
          </w:tcPr>
          <w:p>
            <w:pPr>
              <w:spacing w:before="120" w:after="20" w:line="240" w:lineRule="exact"/>
              <w:jc w:val="left"/>
            </w:pPr>
            <w:r>
              <w:rPr>
                <w:rFonts w:ascii="Times New Roman" w:hAnsi="Times New Roman"/>
                <w:b/>
                <w:sz w:val="18"/>
              </w:rPr>
              <w:t>Country A</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Site 001</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0" w:after="20" w:line="240" w:lineRule="exact"/>
              <w:jc w:val="left"/>
            </w:pPr>
            <w:r>
              <w:rPr>
                <w:rFonts w:ascii="Times New Roman" w:hAnsi="Times New Roman"/>
                <w:b w:val="0"/>
                <w:sz w:val="18"/>
              </w:rPr>
              <w:t xml:space="preserve">      Site 002</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120" w:after="20" w:line="240" w:lineRule="exact"/>
              <w:jc w:val="left"/>
            </w:pPr>
            <w:r>
              <w:rPr>
                <w:rFonts w:ascii="Times New Roman" w:hAnsi="Times New Roman"/>
                <w:b/>
                <w:sz w:val="18"/>
              </w:rPr>
              <w:t>Country B</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Site 003</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w:t>
      </w:r>
    </w:p>
    <w:p>
      <w:pPr>
        <w:spacing w:before="0" w:after="0"/>
      </w:pPr>
      <w:r>
        <w:rPr>
          <w:rFonts w:ascii="Times New Roman" w:hAnsi="Times New Roman"/>
          <w:i/>
          <w:sz w:val="16"/>
        </w:rPr>
        <w:t>[2] Statistical definitions: Percentages use the stated analysis population within each treatment group unless otherwise specified.</w:t>
      </w:r>
    </w:p>
    <w:p>
      <w:pPr>
        <w:spacing w:before="0" w:after="0"/>
      </w:pPr>
      <w:r>
        <w:rPr>
          <w:rFonts w:ascii="Times New Roman" w:hAnsi="Times New Roman"/>
          <w:i/>
          <w:sz w:val="16"/>
        </w:rPr>
        <w:t>[3] Dataset: ADSL. Program: t_disp_site.sas.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14.1.13  Screening Summary — Screen Failure Reasons by Eligibility Criterion</w:t>
      </w:r>
      <w:r>
        <w:bookmarkStart w:id="0" w:name="T14.1.13"/>
        <w:bookmarkEnd w:id="0"/>
      </w:r>
    </w:p>
    <w:p>
      <w:pPr>
        <w:keepNext/>
        <w:spacing w:before="40" w:after="160"/>
      </w:pPr>
      <w:r>
        <w:rPr>
          <w:rFonts w:ascii="Times New Roman" w:hAnsi="Times New Roman"/>
          <w:i/>
          <w:sz w:val="18"/>
        </w:rPr>
        <w:t>Analysis Set: All Screened Subjects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4560"/>
        <w:gridCol w:w="4560"/>
        <w:gridCol w:w="4560"/>
      </w:tblGrid>
      <w:tr>
        <w:trPr>
          <w:tblHeader w:val="true"/>
        </w:trPr>
        <w:tc>
          <w:tcPr>
            <w:tcW w:type="dxa" w:w="4560"/>
            <w:shd w:fill="F2F2F2" w:val="clear"/>
            <w:tcBorders>
              <w:bottom w:val="single" w:sz="4" w:space="0" w:color="000000"/>
            </w:tcBorders>
          </w:tcPr>
          <w:p>
            <w:pPr>
              <w:jc w:val="left"/>
            </w:pPr>
            <w:r>
              <w:rPr>
                <w:rFonts w:ascii="Times New Roman" w:hAnsi="Times New Roman"/>
                <w:b/>
                <w:sz w:val="18"/>
              </w:rPr>
              <w:t>Eligibility Criterion</w:t>
            </w:r>
          </w:p>
        </w:tc>
        <w:tc>
          <w:tcPr>
            <w:tcW w:type="dxa" w:w="4560"/>
            <w:shd w:fill="F2F2F2" w:val="clear"/>
            <w:tcBorders>
              <w:bottom w:val="single" w:sz="4" w:space="0" w:color="000000"/>
            </w:tcBorders>
          </w:tcPr>
          <w:p>
            <w:pPr>
              <w:spacing w:before="0" w:after="0"/>
              <w:jc w:val="center"/>
            </w:pPr>
            <w:r>
              <w:rPr>
                <w:rFonts w:ascii="Times New Roman" w:hAnsi="Times New Roman"/>
                <w:b/>
                <w:sz w:val="18"/>
              </w:rPr>
              <w:t>Screen Failures</w:t>
            </w:r>
          </w:p>
          <w:p>
            <w:pPr>
              <w:spacing w:before="0" w:after="0"/>
              <w:jc w:val="center"/>
            </w:pPr>
            <w:r>
              <w:rPr>
                <w:rFonts w:ascii="Times New Roman" w:hAnsi="Times New Roman"/>
                <w:b/>
                <w:sz w:val="18"/>
              </w:rPr>
              <w:t>n</w:t>
            </w:r>
          </w:p>
        </w:tc>
        <w:tc>
          <w:tcPr>
            <w:tcW w:type="dxa" w:w="4560"/>
            <w:shd w:fill="F2F2F2" w:val="clear"/>
            <w:tcBorders>
              <w:bottom w:val="single" w:sz="4" w:space="0" w:color="000000"/>
            </w:tcBorders>
          </w:tcPr>
          <w:p>
            <w:pPr>
              <w:spacing w:before="0" w:after="0"/>
              <w:jc w:val="center"/>
            </w:pPr>
            <w:r>
              <w:rPr>
                <w:rFonts w:ascii="Times New Roman" w:hAnsi="Times New Roman"/>
                <w:b/>
                <w:sz w:val="18"/>
              </w:rPr>
              <w:t>Reason</w:t>
            </w:r>
          </w:p>
          <w:p>
            <w:pPr>
              <w:spacing w:before="0" w:after="0"/>
              <w:jc w:val="center"/>
            </w:pPr>
            <w:r>
              <w:rPr>
                <w:rFonts w:ascii="Times New Roman" w:hAnsi="Times New Roman"/>
                <w:b/>
                <w:sz w:val="18"/>
              </w:rPr>
              <w:t>Category</w:t>
            </w:r>
          </w:p>
        </w:tc>
      </w:tr>
      <w:tr>
        <w:tc>
          <w:tcPr>
            <w:tcW w:type="dxa" w:w="4560"/>
          </w:tcPr>
          <w:p>
            <w:pPr>
              <w:spacing w:before="20" w:after="20" w:line="240" w:lineRule="exact"/>
              <w:jc w:val="left"/>
            </w:pPr>
            <w:r>
              <w:rPr>
                <w:rFonts w:ascii="Times New Roman" w:hAnsi="Times New Roman"/>
                <w:b w:val="0"/>
                <w:sz w:val="18"/>
              </w:rPr>
              <w:t>Inclusion Criterion 1: Age &gt;=18</w:t>
            </w:r>
          </w:p>
        </w:tc>
        <w:tc>
          <w:tcPr>
            <w:tcW w:type="dxa" w:w="4560"/>
          </w:tcPr>
          <w:p>
            <w:pPr>
              <w:spacing w:before="20" w:after="20" w:line="240" w:lineRule="exact"/>
              <w:jc w:val="center"/>
            </w:pPr>
            <w:r>
              <w:rPr>
                <w:rFonts w:ascii="Times New Roman" w:hAnsi="Times New Roman"/>
                <w:b w:val="0"/>
                <w:sz w:val="18"/>
              </w:rPr>
              <w:t>xx</w:t>
            </w:r>
          </w:p>
        </w:tc>
        <w:tc>
          <w:tcPr>
            <w:tcW w:type="dxa" w:w="4560"/>
          </w:tcPr>
          <w:p>
            <w:pPr>
              <w:spacing w:before="20" w:after="20" w:line="240" w:lineRule="exact"/>
              <w:jc w:val="center"/>
            </w:pPr>
            <w:r>
              <w:rPr>
                <w:rFonts w:ascii="Times New Roman" w:hAnsi="Times New Roman"/>
                <w:b w:val="0"/>
                <w:sz w:val="18"/>
              </w:rPr>
              <w:t>Age &lt;18</w:t>
            </w:r>
          </w:p>
        </w:tc>
      </w:tr>
      <w:tr>
        <w:tc>
          <w:tcPr>
            <w:tcW w:type="dxa" w:w="4560"/>
          </w:tcPr>
          <w:p>
            <w:pPr>
              <w:spacing w:before="20" w:after="20" w:line="240" w:lineRule="exact"/>
              <w:jc w:val="left"/>
            </w:pPr>
            <w:r>
              <w:rPr>
                <w:rFonts w:ascii="Times New Roman" w:hAnsi="Times New Roman"/>
                <w:b w:val="0"/>
                <w:sz w:val="18"/>
              </w:rPr>
              <w:t>Inclusion Criterion 2: ECOG 0-1</w:t>
            </w:r>
          </w:p>
        </w:tc>
        <w:tc>
          <w:tcPr>
            <w:tcW w:type="dxa" w:w="4560"/>
          </w:tcPr>
          <w:p>
            <w:pPr>
              <w:spacing w:before="20" w:after="20" w:line="240" w:lineRule="exact"/>
              <w:jc w:val="center"/>
            </w:pPr>
            <w:r>
              <w:rPr>
                <w:rFonts w:ascii="Times New Roman" w:hAnsi="Times New Roman"/>
                <w:b w:val="0"/>
                <w:sz w:val="18"/>
              </w:rPr>
              <w:t>xx</w:t>
            </w:r>
          </w:p>
        </w:tc>
        <w:tc>
          <w:tcPr>
            <w:tcW w:type="dxa" w:w="4560"/>
          </w:tcPr>
          <w:p>
            <w:pPr>
              <w:spacing w:before="20" w:after="20" w:line="240" w:lineRule="exact"/>
              <w:jc w:val="center"/>
            </w:pPr>
            <w:r>
              <w:rPr>
                <w:rFonts w:ascii="Times New Roman" w:hAnsi="Times New Roman"/>
                <w:b w:val="0"/>
                <w:sz w:val="18"/>
              </w:rPr>
              <w:t>ECOG &gt;=2</w:t>
            </w:r>
          </w:p>
        </w:tc>
      </w:tr>
      <w:tr>
        <w:tc>
          <w:tcPr>
            <w:tcW w:type="dxa" w:w="4560"/>
          </w:tcPr>
          <w:p>
            <w:pPr>
              <w:spacing w:before="20" w:after="20" w:line="240" w:lineRule="exact"/>
              <w:jc w:val="left"/>
            </w:pPr>
            <w:r>
              <w:rPr>
                <w:rFonts w:ascii="Times New Roman" w:hAnsi="Times New Roman"/>
                <w:b w:val="0"/>
                <w:sz w:val="18"/>
              </w:rPr>
              <w:t>Exclusion Criterion 1: Prior malignancy</w:t>
            </w:r>
          </w:p>
        </w:tc>
        <w:tc>
          <w:tcPr>
            <w:tcW w:type="dxa" w:w="4560"/>
          </w:tcPr>
          <w:p>
            <w:pPr>
              <w:spacing w:before="20" w:after="20" w:line="240" w:lineRule="exact"/>
              <w:jc w:val="center"/>
            </w:pPr>
            <w:r>
              <w:rPr>
                <w:rFonts w:ascii="Times New Roman" w:hAnsi="Times New Roman"/>
                <w:b w:val="0"/>
                <w:sz w:val="18"/>
              </w:rPr>
              <w:t>xx</w:t>
            </w:r>
          </w:p>
        </w:tc>
        <w:tc>
          <w:tcPr>
            <w:tcW w:type="dxa" w:w="4560"/>
          </w:tcPr>
          <w:p>
            <w:pPr>
              <w:spacing w:before="20" w:after="20" w:line="240" w:lineRule="exact"/>
              <w:jc w:val="center"/>
            </w:pPr>
            <w:r>
              <w:rPr>
                <w:rFonts w:ascii="Times New Roman" w:hAnsi="Times New Roman"/>
                <w:b w:val="0"/>
                <w:sz w:val="18"/>
              </w:rPr>
              <w:t>History of prior cancer</w:t>
            </w:r>
          </w:p>
        </w:tc>
      </w:tr>
      <w:tr>
        <w:tc>
          <w:tcPr>
            <w:tcW w:type="dxa" w:w="4560"/>
          </w:tcPr>
          <w:p>
            <w:pPr>
              <w:spacing w:before="20" w:after="20" w:line="240" w:lineRule="exact"/>
              <w:jc w:val="left"/>
            </w:pPr>
            <w:r>
              <w:rPr>
                <w:rFonts w:ascii="Times New Roman" w:hAnsi="Times New Roman"/>
                <w:b w:val="0"/>
                <w:sz w:val="18"/>
              </w:rPr>
              <w:t>Exclusion Criterion 2: Active infection</w:t>
            </w:r>
          </w:p>
        </w:tc>
        <w:tc>
          <w:tcPr>
            <w:tcW w:type="dxa" w:w="4560"/>
          </w:tcPr>
          <w:p>
            <w:pPr>
              <w:spacing w:before="20" w:after="20" w:line="240" w:lineRule="exact"/>
              <w:jc w:val="center"/>
            </w:pPr>
            <w:r>
              <w:rPr>
                <w:rFonts w:ascii="Times New Roman" w:hAnsi="Times New Roman"/>
                <w:b w:val="0"/>
                <w:sz w:val="18"/>
              </w:rPr>
              <w:t>xx</w:t>
            </w:r>
          </w:p>
        </w:tc>
        <w:tc>
          <w:tcPr>
            <w:tcW w:type="dxa" w:w="4560"/>
          </w:tcPr>
          <w:p>
            <w:pPr>
              <w:spacing w:before="20" w:after="20" w:line="240" w:lineRule="exact"/>
              <w:jc w:val="center"/>
            </w:pPr>
            <w:r>
              <w:rPr>
                <w:rFonts w:ascii="Times New Roman" w:hAnsi="Times New Roman"/>
                <w:b w:val="0"/>
                <w:sz w:val="18"/>
              </w:rPr>
              <w:t>Active HBV/HCV/HIV</w:t>
            </w:r>
          </w:p>
        </w:tc>
      </w:tr>
      <w:tr>
        <w:tc>
          <w:tcPr>
            <w:tcW w:type="dxa" w:w="4560"/>
          </w:tcPr>
          <w:p>
            <w:pPr>
              <w:spacing w:before="120" w:after="20" w:line="240" w:lineRule="exact"/>
              <w:jc w:val="left"/>
            </w:pPr>
            <w:r>
              <w:rPr>
                <w:rFonts w:ascii="Times New Roman" w:hAnsi="Times New Roman"/>
                <w:b/>
                <w:sz w:val="18"/>
              </w:rPr>
              <w:t>Total Screen Failures</w:t>
            </w:r>
          </w:p>
        </w:tc>
        <w:tc>
          <w:tcPr>
            <w:tcW w:type="dxa" w:w="4560"/>
          </w:tcPr>
          <w:p>
            <w:pPr>
              <w:spacing w:before="120" w:after="20" w:line="240" w:lineRule="exact"/>
              <w:jc w:val="center"/>
            </w:pPr>
            <w:r>
              <w:rPr>
                <w:rFonts w:ascii="Times New Roman" w:hAnsi="Times New Roman"/>
                <w:b/>
                <w:sz w:val="18"/>
              </w:rPr>
              <w:t>xx</w:t>
            </w:r>
          </w:p>
        </w:tc>
        <w:tc>
          <w:tcPr>
            <w:tcW w:type="dxa" w:w="4560"/>
          </w:tcPr>
          <w:p>
            <w:pPr>
              <w:spacing w:before="120" w:after="20" w:line="240" w:lineRule="exact"/>
              <w:jc w:val="center"/>
            </w:pPr>
            <w:r>
              <w:rPr>
                <w:rFonts w:ascii="Times New Roman" w:hAnsi="Times New Roman"/>
                <w:b/>
                <w:sz w:val="18"/>
              </w:rPr>
            </w:r>
          </w:p>
        </w:tc>
      </w:tr>
      <w:tr>
        <w:tc>
          <w:tcPr>
            <w:tcW w:type="dxa" w:w="4560"/>
          </w:tcPr>
          <w:p>
            <w:pPr>
              <w:spacing w:before="20" w:after="20" w:line="240" w:lineRule="exact"/>
              <w:jc w:val="left"/>
            </w:pPr>
            <w:r>
              <w:rPr>
                <w:rFonts w:ascii="Times New Roman" w:hAnsi="Times New Roman"/>
                <w:b w:val="0"/>
                <w:sz w:val="18"/>
              </w:rPr>
              <w:t>[...]</w:t>
            </w:r>
          </w:p>
        </w:tc>
        <w:tc>
          <w:tcPr>
            <w:tcW w:type="dxa" w:w="4560"/>
          </w:tcPr>
          <w:p>
            <w:pPr>
              <w:spacing w:before="20" w:after="20" w:line="240" w:lineRule="exact"/>
              <w:jc w:val="center"/>
            </w:pPr>
            <w:r>
              <w:rPr>
                <w:rFonts w:ascii="Times New Roman" w:hAnsi="Times New Roman"/>
                <w:b w:val="0"/>
                <w:sz w:val="18"/>
              </w:rPr>
              <w:t>...</w:t>
            </w:r>
          </w:p>
        </w:tc>
        <w:tc>
          <w:tcPr>
            <w:tcW w:type="dxa" w:w="456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w:t>
      </w:r>
    </w:p>
    <w:p>
      <w:pPr>
        <w:spacing w:before="0" w:after="0"/>
      </w:pPr>
      <w:r>
        <w:rPr>
          <w:rFonts w:ascii="Times New Roman" w:hAnsi="Times New Roman"/>
          <w:i/>
          <w:sz w:val="16"/>
        </w:rPr>
        <w:t>[2] Abbreviations: ECOG = Eastern Cooperative Oncology Group.</w:t>
      </w:r>
    </w:p>
    <w:p>
      <w:pPr>
        <w:spacing w:before="0" w:after="0"/>
      </w:pPr>
      <w:r>
        <w:rPr>
          <w:rFonts w:ascii="Times New Roman" w:hAnsi="Times New Roman"/>
          <w:i/>
          <w:sz w:val="16"/>
        </w:rPr>
        <w:t>[3] Dataset: ADSL. Program: t_screen_fail.sas.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14.1.14  Major Protocol Deviations — by Category and Subcategory</w:t>
      </w:r>
      <w:r>
        <w:bookmarkStart w:id="0" w:name="T14.1.14"/>
        <w:bookmarkEnd w:id="0"/>
      </w:r>
    </w:p>
    <w:p>
      <w:pPr>
        <w:keepNext/>
        <w:spacing w:before="40" w:after="160"/>
      </w:pPr>
      <w:r>
        <w:rPr>
          <w:rFonts w:ascii="Times New Roman" w:hAnsi="Times New Roman"/>
          <w:i/>
          <w:sz w:val="18"/>
        </w:rPr>
        <w:t>Analysis Set: All Randomized Subjects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Deviation Category</w:t>
            </w:r>
          </w:p>
          <w:p>
            <w:pPr>
              <w:spacing w:before="0" w:after="0"/>
              <w:jc w:val="left"/>
            </w:pPr>
            <w:r>
              <w:rPr>
                <w:rFonts w:ascii="Times New Roman" w:hAnsi="Times New Roman"/>
                <w:b/>
                <w:sz w:val="18"/>
              </w:rPr>
              <w:t>Subcategory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Eligibility Criteria</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Inclusion criteria not met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Exclusion criteria not met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Study Procedure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Missed efficacy assessment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Out-of-window visit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Study Treatment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Wrong dose administered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Non-compliance &lt;80%</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Concomitant Medication</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Prohibited medication taken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w:t>
      </w:r>
    </w:p>
    <w:p>
      <w:pPr>
        <w:spacing w:before="0" w:after="0"/>
      </w:pPr>
      <w:r>
        <w:rPr>
          <w:rFonts w:ascii="Times New Roman" w:hAnsi="Times New Roman"/>
          <w:i/>
          <w:sz w:val="16"/>
        </w:rPr>
        <w:t>[2] Statistical definitions: Percentages use the stated analysis population within each treatment group unless otherwise specified.</w:t>
      </w:r>
    </w:p>
    <w:p>
      <w:pPr>
        <w:spacing w:before="0" w:after="0"/>
      </w:pPr>
      <w:r>
        <w:rPr>
          <w:rFonts w:ascii="Times New Roman" w:hAnsi="Times New Roman"/>
          <w:i/>
          <w:sz w:val="16"/>
        </w:rPr>
        <w:t>[3] Dataset: ADSL, DV. Program: t_protdev_cat.sas.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14.1.15  Surgical and Procedure History by Body System</w:t>
      </w:r>
      <w:r>
        <w:bookmarkStart w:id="0" w:name="T14.1.15"/>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Body System</w:t>
            </w:r>
          </w:p>
          <w:p>
            <w:pPr>
              <w:spacing w:before="0" w:after="0"/>
              <w:jc w:val="left"/>
            </w:pPr>
            <w:r>
              <w:rPr>
                <w:rFonts w:ascii="Times New Roman" w:hAnsi="Times New Roman"/>
                <w:b/>
                <w:sz w:val="18"/>
              </w:rPr>
              <w:t>Procedure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Any Surgical/Procedure History</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120" w:after="20" w:line="240" w:lineRule="exact"/>
              <w:jc w:val="left"/>
            </w:pPr>
            <w:r>
              <w:rPr>
                <w:rFonts w:ascii="Times New Roman" w:hAnsi="Times New Roman"/>
                <w:b/>
                <w:sz w:val="18"/>
              </w:rPr>
              <w:t>Cardiovascular</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Coronary artery bypass graft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Pacemaker insertion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Gastrointestinal</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Cholecystectomy</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Appendectomy</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Musculoskeletal</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Joint replacement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L16.2.21</w:t>
      </w:r>
    </w:p>
    <w:p>
      <w:pPr>
        <w:spacing w:before="0" w:after="0"/>
      </w:pPr>
      <w:r>
        <w:rPr>
          <w:rFonts w:ascii="Times New Roman" w:hAnsi="Times New Roman"/>
          <w:i/>
          <w:sz w:val="16"/>
        </w:rPr>
        <w:t>[2] Statistical definitions: Percentages use the stated analysis population within each treatment group unless otherwise specified.</w:t>
      </w:r>
    </w:p>
    <w:p>
      <w:pPr>
        <w:spacing w:before="0" w:after="0"/>
      </w:pPr>
      <w:r>
        <w:rPr>
          <w:rFonts w:ascii="Times New Roman" w:hAnsi="Times New Roman"/>
          <w:i/>
          <w:sz w:val="16"/>
        </w:rPr>
        <w:t>[3] Dataset: ADSL, ADMH. Program: t_surg_hist.sas.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14.1.16  Prior and Concomitant Medications by WHO ATC Level 3 — &gt;=5% in Any Arm</w:t>
      </w:r>
      <w:r>
        <w:bookmarkStart w:id="0" w:name="T14.1.16"/>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ATC Level 3</w:t>
            </w:r>
          </w:p>
          <w:p>
            <w:pPr>
              <w:spacing w:before="0" w:after="0"/>
              <w:jc w:val="left"/>
            </w:pPr>
            <w:r>
              <w:rPr>
                <w:rFonts w:ascii="Times New Roman" w:hAnsi="Times New Roman"/>
                <w:b/>
                <w:sz w:val="18"/>
              </w:rPr>
              <w:t>Preferred Name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Prior</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Concomitant</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A02BC — Proton Pump Inhibitors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Omeprazole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Pantoprazole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N02BE — Anilides (Paracetamol)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Paracetamol</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C10AA — HMG-CoA Reductase Inhibitors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Atorvastatin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L16.2.6</w:t>
      </w:r>
    </w:p>
    <w:p>
      <w:pPr>
        <w:spacing w:before="0" w:after="0"/>
      </w:pPr>
      <w:r>
        <w:rPr>
          <w:rFonts w:ascii="Times New Roman" w:hAnsi="Times New Roman"/>
          <w:i/>
          <w:sz w:val="16"/>
        </w:rPr>
        <w:t>[2] WHO Drug Global [version]. Prior = stopped before first dose. Concomitant = any use on/after first dose.</w:t>
      </w:r>
    </w:p>
    <w:p>
      <w:pPr>
        <w:spacing w:before="0" w:after="0"/>
      </w:pPr>
      <w:r>
        <w:rPr>
          <w:rFonts w:ascii="Times New Roman" w:hAnsi="Times New Roman"/>
          <w:i/>
          <w:sz w:val="16"/>
        </w:rPr>
        <w:t>[3] Abbreviations: ATC = Anatomical Therapeutic Chemical; WHO = World Health Organization; HMG-CoA = 3-hydroxy-3-methylglutaryl-coenzyme A.</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ADCM. Program: t_conmed_atc3.sas.</w:t>
      </w:r>
    </w:p>
    <w:p>
      <w:pPr>
        <w:spacing w:before="0" w:after="0"/>
      </w:pPr>
      <w:r>
        <w:rPr>
          <w:rFonts w:ascii="Times New Roman" w:hAnsi="Times New Roman"/>
          <w:i/>
          <w:sz w:val="16"/>
        </w:rPr>
        <w:t>[6] Coding dictionary: WHO-DD [version].</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14.1.17  Study Drug Exposure by Duration Category</w:t>
      </w:r>
      <w:r>
        <w:bookmarkStart w:id="0" w:name="T14.1.17"/>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Exposure Duration</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Duration of Exposure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20" w:after="20" w:line="240" w:lineRule="exact"/>
              <w:jc w:val="left"/>
            </w:pPr>
            <w:r>
              <w:rPr>
                <w:rFonts w:ascii="Times New Roman" w:hAnsi="Times New Roman"/>
                <w:b w:val="0"/>
                <w:sz w:val="18"/>
              </w:rPr>
              <w:t xml:space="preserve">  Mean (SD), weeks</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 xml:space="preserve">  Median (Min, Max), weeks</w:t>
            </w:r>
          </w:p>
        </w:tc>
        <w:tc>
          <w:tcPr>
            <w:tcW w:type="dxa" w:w="2736"/>
          </w:tcPr>
          <w:p>
            <w:pPr>
              <w:spacing w:before="20" w:after="20" w:line="240" w:lineRule="exact"/>
              <w:jc w:val="center"/>
            </w:pPr>
            <w:r>
              <w:rPr>
                <w:rFonts w:ascii="Times New Roman" w:hAnsi="Times New Roman"/>
                <w:b w:val="0"/>
                <w:sz w:val="18"/>
              </w:rPr>
              <w:t>xx.x (xx, xx)</w:t>
            </w:r>
          </w:p>
        </w:tc>
        <w:tc>
          <w:tcPr>
            <w:tcW w:type="dxa" w:w="2736"/>
          </w:tcPr>
          <w:p>
            <w:pPr>
              <w:spacing w:before="20" w:after="20" w:line="240" w:lineRule="exact"/>
              <w:jc w:val="center"/>
            </w:pPr>
            <w:r>
              <w:rPr>
                <w:rFonts w:ascii="Times New Roman" w:hAnsi="Times New Roman"/>
                <w:b w:val="0"/>
                <w:sz w:val="18"/>
              </w:rPr>
              <w:t>xx.x (xx,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 xx)</w:t>
            </w:r>
          </w:p>
        </w:tc>
      </w:tr>
      <w:tr>
        <w:tc>
          <w:tcPr>
            <w:tcW w:type="dxa" w:w="2736"/>
          </w:tcPr>
          <w:p>
            <w:pPr>
              <w:spacing w:before="120" w:after="20" w:line="240" w:lineRule="exact"/>
              <w:jc w:val="left"/>
            </w:pPr>
            <w:r>
              <w:rPr>
                <w:rFonts w:ascii="Times New Roman" w:hAnsi="Times New Roman"/>
                <w:b/>
                <w:sz w:val="18"/>
              </w:rPr>
              <w:t>Exposure by Duration Category</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&gt;=1 month (&lt;30 days)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&gt;=3 months (&gt;=90 days)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&gt;=6 months (&gt;=180 days)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&gt;=12 months (&gt;=360 days)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L16.2.12</w:t>
      </w:r>
    </w:p>
    <w:p>
      <w:pPr>
        <w:spacing w:before="0" w:after="0"/>
      </w:pPr>
      <w:r>
        <w:rPr>
          <w:rFonts w:ascii="Times New Roman" w:hAnsi="Times New Roman"/>
          <w:i/>
          <w:sz w:val="16"/>
        </w:rPr>
        <w:t>[2] Abbreviations: SD = standard deviation.</w:t>
      </w:r>
    </w:p>
    <w:p>
      <w:pPr>
        <w:spacing w:before="0" w:after="0"/>
      </w:pPr>
      <w:r>
        <w:rPr>
          <w:rFonts w:ascii="Times New Roman" w:hAnsi="Times New Roman"/>
          <w:i/>
          <w:sz w:val="16"/>
        </w:rPr>
        <w:t>[3] Statistical definitions: Percentages use the stated analysis population within each treatment group unless otherwise specified. Descriptive statistics are calculated from non-missing observations unless the SAP states otherwise.</w:t>
      </w:r>
    </w:p>
    <w:p>
      <w:pPr>
        <w:spacing w:before="0" w:after="0"/>
      </w:pPr>
      <w:r>
        <w:rPr>
          <w:rFonts w:ascii="Times New Roman" w:hAnsi="Times New Roman"/>
          <w:i/>
          <w:sz w:val="16"/>
        </w:rPr>
        <w:t>[4] Dataset: ADSL, ADEX. Program: t_expo_durcat.sas.</w:t>
      </w:r>
      <w:r>
        <w:br w:type="page"/>
      </w:r>
    </w:p>
    <w:p>
      <w:pPr>
        <w:pStyle w:val="Heading2"/>
      </w:pPr>
      <w:r>
        <w:t>14.2  Efficacy Analysis</w:t>
      </w:r>
    </w:p>
    <w:p>
      <w:pPr>
        <w:pStyle w:val="Heading3"/>
        <w:spacing w:before="120" w:after="80"/>
      </w:pPr>
      <w:r>
        <w:rPr>
          <w:rFonts w:ascii="Times New Roman" w:hAnsi="Times New Roman"/>
          <w:b/>
          <w:color w:val="003366"/>
          <w:sz w:val="22"/>
        </w:rPr>
        <w:t>Tables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  Primary Efficacy Endpoint — Primary Analysis</w:t>
      </w:r>
      <w:r>
        <w:bookmarkStart w:id="0" w:name="T14.2.1"/>
        <w:bookmarkEnd w:id="0"/>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vMerge w:val="restart"/>
            <w:shd w:fill="F2F2F2" w:val="clear"/>
            <w:tcBorders>
              <w:bottom w:val="single" w:sz="4" w:space="0" w:color="000000"/>
            </w:tcBorders>
          </w:tcPr>
          <w:p>
            <w:pPr>
              <w:spacing w:before="0" w:after="0"/>
              <w:jc w:val="left"/>
            </w:pPr>
            <w:r>
              <w:rPr>
                <w:rFonts w:ascii="Times New Roman" w:hAnsi="Times New Roman"/>
                <w:b/>
                <w:sz w:val="18"/>
              </w:rPr>
              <w:t>Parameter /</w:t>
            </w:r>
          </w:p>
          <w:p>
            <w:pPr>
              <w:spacing w:before="0" w:after="0"/>
              <w:jc w:val="left"/>
            </w:pPr>
            <w:r>
              <w:rPr>
                <w:rFonts w:ascii="Times New Roman" w:hAnsi="Times New Roman"/>
                <w:b/>
                <w:sz w:val="18"/>
              </w:rPr>
              <w:t>Visit / Statistic</w:t>
            </w:r>
          </w:p>
        </w:tc>
        <w:tc>
          <w:tcPr>
            <w:tcW w:type="dxa" w:w="5472"/>
            <w:gridSpan w:val="2"/>
            <w:shd w:fill="F2F2F2" w:val="clear"/>
            <w:tcBorders>
              <w:bottom w:val="single" w:sz="4" w:space="0" w:color="000000"/>
            </w:tcBorders>
          </w:tcPr>
          <w:p>
            <w:pPr>
              <w:jc w:val="center"/>
            </w:pPr>
            <w:r>
              <w:rPr>
                <w:rFonts w:ascii="Times New Roman" w:hAnsi="Times New Roman"/>
                <w:b/>
                <w:sz w:val="18"/>
              </w:rPr>
              <w:t>Treatment Estimates</w:t>
            </w:r>
          </w:p>
        </w:tc>
        <w:tc>
          <w:tcPr>
            <w:tcW w:type="dxa" w:w="5472"/>
            <w:gridSpan w:val="2"/>
            <w:shd w:fill="F2F2F2" w:val="clear"/>
            <w:tcBorders>
              <w:bottom w:val="single" w:sz="4" w:space="0" w:color="000000"/>
            </w:tcBorders>
          </w:tcPr>
          <w:p>
            <w:pPr>
              <w:jc w:val="center"/>
            </w:pPr>
            <w:r>
              <w:rPr>
                <w:rFonts w:ascii="Times New Roman" w:hAnsi="Times New Roman"/>
                <w:b/>
                <w:sz w:val="18"/>
              </w:rPr>
              <w:t>Treatment Comparison</w:t>
            </w:r>
          </w:p>
        </w:tc>
      </w:tr>
      <w:tr>
        <w:trPr>
          <w:tblHeader w:val="true"/>
        </w:trPr>
        <w:tc>
          <w:tcPr>
            <w:tcW w:type="dxa" w:w="2736"/>
            <w:vMerge/>
          </w:tcP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 vs Group 2</w:t>
            </w:r>
          </w:p>
          <w:p>
            <w:pPr>
              <w:spacing w:before="0" w:after="0"/>
              <w:jc w:val="center"/>
            </w:pPr>
            <w:r>
              <w:rPr>
                <w:rFonts w:ascii="Times New Roman" w:hAnsi="Times New Roman"/>
                <w:b/>
                <w:sz w:val="18"/>
              </w:rPr>
              <w:t>Estimate</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120" w:after="20" w:line="240" w:lineRule="exact"/>
              <w:jc w:val="left"/>
            </w:pPr>
            <w:r>
              <w:rPr>
                <w:rFonts w:ascii="Times New Roman" w:hAnsi="Times New Roman"/>
                <w:b/>
                <w:sz w:val="18"/>
              </w:rPr>
              <w:t>Subjects in Analysis</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Baseline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Median (Min, Max)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t>xx.x (xx, 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Protocol-Defined Primary Visit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Change from Baseline at Protocol-Defined Primary Visit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LS Mean (SE)</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LS Mean Difference vs. Group 2</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95% CI</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0" w:after="20" w:line="240" w:lineRule="exact"/>
              <w:jc w:val="left"/>
            </w:pPr>
            <w:r>
              <w:rPr>
                <w:rFonts w:ascii="Times New Roman" w:hAnsi="Times New Roman"/>
                <w:b w:val="0"/>
                <w:sz w:val="18"/>
              </w:rPr>
              <w:t xml:space="preserve">      p-value</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ANCOVA with treatment as fixed effect, baseline as covariate, stratified by [stratification factors].</w:t>
      </w:r>
    </w:p>
    <w:p>
      <w:pPr>
        <w:spacing w:before="0" w:after="0"/>
      </w:pPr>
      <w:r>
        <w:rPr>
          <w:rFonts w:ascii="Times New Roman" w:hAnsi="Times New Roman"/>
          <w:i/>
          <w:sz w:val="16"/>
        </w:rPr>
        <w:t>[2] MMRM under MAR for missing data. Two-sided 95% CI. Multiplicity adjustment per hierarchical testing procedure.</w:t>
      </w:r>
    </w:p>
    <w:p>
      <w:pPr>
        <w:spacing w:before="0" w:after="0"/>
      </w:pPr>
      <w:r>
        <w:rPr>
          <w:rFonts w:ascii="Times New Roman" w:hAnsi="Times New Roman"/>
          <w:i/>
          <w:sz w:val="16"/>
        </w:rPr>
        <w:t>[3] Abbreviations: ITT = intent-to-treat; MMRM = mixed model for repeated measures; MAR = missing at random; LS = least squares; SE = standard error; CI = confidence interval; SD = standard deviation.</w:t>
      </w:r>
    </w:p>
    <w:p>
      <w:pPr>
        <w:spacing w:before="0" w:after="0"/>
      </w:pPr>
      <w:r>
        <w:rPr>
          <w:rFonts w:ascii="Times New Roman" w:hAnsi="Times New Roman"/>
          <w:i/>
          <w:sz w:val="16"/>
        </w:rPr>
        <w:t>[4] Statistical definitions: Model-based estimates, contrasts, confidence intervals, and p-values follow the model, covariate, missing-data, and multiplicity specifications in the SAP. Descriptive statistics are calculated from non-missing observations unless the SAP states otherwise.</w:t>
      </w:r>
    </w:p>
    <w:p>
      <w:pPr>
        <w:spacing w:before="0" w:after="0"/>
      </w:pPr>
      <w:r>
        <w:rPr>
          <w:rFonts w:ascii="Times New Roman" w:hAnsi="Times New Roman"/>
          <w:i/>
          <w:sz w:val="16"/>
        </w:rPr>
        <w:t>[5] Dataset: ADSL, ADEFF. Program: t_primary_eff.sas.</w:t>
      </w:r>
    </w:p>
    <w:p>
      <w:pPr>
        <w:spacing w:before="0" w:after="0"/>
      </w:pPr>
      <w:r>
        <w:rPr>
          <w:rFonts w:ascii="Times New Roman" w:hAnsi="Times New Roman"/>
          <w:i/>
          <w:sz w:val="16"/>
        </w:rPr>
        <w:t>[6] Note: Source listing is study-specific to the endpoint.</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  Secondary Efficacy Endpoints — Summary</w:t>
      </w:r>
      <w:r>
        <w:bookmarkStart w:id="0" w:name="T14.2.2"/>
        <w:bookmarkEnd w:id="0"/>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Endpoint</w:t>
            </w:r>
          </w:p>
          <w:p>
            <w:pPr>
              <w:spacing w:before="0" w:after="0"/>
              <w:jc w:val="left"/>
            </w:pPr>
            <w:r>
              <w:rPr>
                <w:rFonts w:ascii="Times New Roman" w:hAnsi="Times New Roman"/>
                <w:b/>
                <w:sz w:val="18"/>
              </w:rPr>
              <w:t>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Key Secondary Endpoint 1 — Change from BL at Week 24</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LS Mean (SE)</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0" w:after="20" w:line="240" w:lineRule="exact"/>
              <w:jc w:val="left"/>
            </w:pPr>
            <w:r>
              <w:rPr>
                <w:rFonts w:ascii="Times New Roman" w:hAnsi="Times New Roman"/>
                <w:b w:val="0"/>
                <w:sz w:val="18"/>
              </w:rPr>
              <w:t xml:space="preserve">      LS Mean Difference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p-value (adjusted)</w:t>
            </w:r>
          </w:p>
        </w:tc>
        <w:tc>
          <w:tcPr>
            <w:tcW w:type="dxa" w:w="2736"/>
          </w:tcPr>
          <w:p>
            <w:pPr>
              <w:spacing w:before="0" w:after="20" w:line="240" w:lineRule="exact"/>
              <w:jc w:val="center"/>
            </w:pPr>
            <w:r>
              <w:rPr>
                <w:rFonts w:ascii="Times New Roman" w:hAnsi="Times New Roman"/>
                <w:b w:val="0"/>
                <w:sz w:val="18"/>
              </w:rPr>
              <w:t>x.xxx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Key Secondary Endpoint 2 — Response Rate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Odds Ratio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p-value (adjusted)</w:t>
            </w:r>
          </w:p>
        </w:tc>
        <w:tc>
          <w:tcPr>
            <w:tcW w:type="dxa" w:w="2736"/>
          </w:tcPr>
          <w:p>
            <w:pPr>
              <w:spacing w:before="0" w:after="20" w:line="240" w:lineRule="exact"/>
              <w:jc w:val="center"/>
            </w:pPr>
            <w:r>
              <w:rPr>
                <w:rFonts w:ascii="Times New Roman" w:hAnsi="Times New Roman"/>
                <w:b w:val="0"/>
                <w:sz w:val="18"/>
              </w:rPr>
              <w:t>x.xxx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Key Secondary Endpoint 3 — Time to Event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Events /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Median, months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 xx.x)</w:t>
            </w:r>
          </w:p>
        </w:tc>
      </w:tr>
      <w:tr>
        <w:tc>
          <w:tcPr>
            <w:tcW w:type="dxa" w:w="2736"/>
          </w:tcPr>
          <w:p>
            <w:pPr>
              <w:spacing w:before="0" w:after="20" w:line="240" w:lineRule="exact"/>
              <w:jc w:val="left"/>
            </w:pPr>
            <w:r>
              <w:rPr>
                <w:rFonts w:ascii="Times New Roman" w:hAnsi="Times New Roman"/>
                <w:b w:val="0"/>
                <w:sz w:val="18"/>
              </w:rPr>
              <w:t xml:space="preserve">      HR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p-value (adjusted)</w:t>
            </w:r>
          </w:p>
        </w:tc>
        <w:tc>
          <w:tcPr>
            <w:tcW w:type="dxa" w:w="2736"/>
          </w:tcPr>
          <w:p>
            <w:pPr>
              <w:spacing w:before="0" w:after="20" w:line="240" w:lineRule="exact"/>
              <w:jc w:val="center"/>
            </w:pPr>
            <w:r>
              <w:rPr>
                <w:rFonts w:ascii="Times New Roman" w:hAnsi="Times New Roman"/>
                <w:b w:val="0"/>
                <w:sz w:val="18"/>
              </w:rPr>
              <w:t>x.xxx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Endpoints tested per hierarchical fixed-sequence procedure. Adjusted p-values shown.</w:t>
      </w:r>
    </w:p>
    <w:p>
      <w:pPr>
        <w:spacing w:before="0" w:after="0"/>
      </w:pPr>
      <w:r>
        <w:rPr>
          <w:rFonts w:ascii="Times New Roman" w:hAnsi="Times New Roman"/>
          <w:i/>
          <w:sz w:val="16"/>
        </w:rPr>
        <w:t>[2] Response defined per protocol SAP [ref]. ANCOVA/CMH/Cox models as appropriate per endpoint type.</w:t>
      </w:r>
    </w:p>
    <w:p>
      <w:pPr>
        <w:spacing w:before="0" w:after="0"/>
      </w:pPr>
      <w:r>
        <w:rPr>
          <w:rFonts w:ascii="Times New Roman" w:hAnsi="Times New Roman"/>
          <w:i/>
          <w:sz w:val="16"/>
        </w:rPr>
        <w:t>[3] Abbreviations: BL = baseline; ITT = intent-to-treat; CMH = Cochran-Mantel-Haenszel; LS = least squares; SE = standard error; CI = confidence interval; HR = hazard ratio.</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[5] Dataset: ADSL, ADEFF, ADTTE. Program: t_secondary_eff.sas.</w:t>
      </w:r>
    </w:p>
    <w:p>
      <w:pPr>
        <w:spacing w:before="0" w:after="0"/>
      </w:pPr>
      <w:r>
        <w:rPr>
          <w:rFonts w:ascii="Times New Roman" w:hAnsi="Times New Roman"/>
          <w:i/>
          <w:sz w:val="16"/>
        </w:rPr>
        <w:t>[6] Note: Source listing is study-specific to the endpoint.</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14.2.4  Sensitivity Analysis of Primary Endpoint</w:t>
      </w:r>
      <w:r>
        <w:bookmarkStart w:id="0" w:name="T14.2.4"/>
        <w:bookmarkEnd w:id="0"/>
      </w:r>
    </w:p>
    <w:p>
      <w:pPr>
        <w:keepNext/>
        <w:spacing w:before="40" w:after="160"/>
      </w:pPr>
      <w:r>
        <w:rPr>
          <w:rFonts w:ascii="Times New Roman" w:hAnsi="Times New Roman"/>
          <w:i/>
          <w:sz w:val="18"/>
        </w:rPr>
        <w:t>Analysis Set: ITT and PP Populations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Analysis</w:t>
            </w:r>
          </w:p>
          <w:p>
            <w:pPr>
              <w:spacing w:before="0" w:after="0"/>
              <w:jc w:val="left"/>
            </w:pPr>
            <w:r>
              <w:rPr>
                <w:rFonts w:ascii="Times New Roman" w:hAnsi="Times New Roman"/>
                <w:b/>
                <w:sz w:val="18"/>
              </w:rPr>
              <w:t>Population / Missing Data</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LS Mean</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LS Mean</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jc w:val="center"/>
            </w:pPr>
            <w:r>
              <w:rPr>
                <w:rFonts w:ascii="Times New Roman" w:hAnsi="Times New Roman"/>
                <w:b/>
                <w:sz w:val="18"/>
              </w:rPr>
              <w:t>Difference</w:t>
            </w:r>
          </w:p>
        </w:tc>
        <w:tc>
          <w:tcPr>
            <w:tcW w:type="dxa" w:w="2280"/>
            <w:shd w:fill="F2F2F2" w:val="clear"/>
            <w:tcBorders>
              <w:bottom w:val="single" w:sz="4" w:space="0" w:color="000000"/>
            </w:tcBorders>
          </w:tcPr>
          <w:p>
            <w:pPr>
              <w:jc w:val="center"/>
            </w:pPr>
            <w:r>
              <w:rPr>
                <w:rFonts w:ascii="Times New Roman" w:hAnsi="Times New Roman"/>
                <w:b/>
                <w:sz w:val="18"/>
              </w:rPr>
              <w:t>95% CI</w:t>
            </w:r>
          </w:p>
        </w:tc>
      </w:tr>
      <w:tr>
        <w:tc>
          <w:tcPr>
            <w:tcW w:type="dxa" w:w="2280"/>
          </w:tcPr>
          <w:p>
            <w:pPr>
              <w:spacing w:before="20" w:after="20" w:line="240" w:lineRule="exact"/>
              <w:jc w:val="left"/>
            </w:pPr>
            <w:r>
              <w:rPr>
                <w:rFonts w:ascii="Times New Roman" w:hAnsi="Times New Roman"/>
                <w:b w:val="0"/>
                <w:sz w:val="18"/>
              </w:rPr>
              <w:t>Primary (MMRM / ITT / MAR)</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PP Analysis (Completers)</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Multiple Imputation (100 imputations)</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Tipping Point (δ=1.0)</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Abbreviations: ITT = intent-to-treat; PP = per-protocol; MMRM = mixed model for repeated measures; MAR = missing at random; LS = least squares; CI = confidence interval.</w:t>
      </w:r>
    </w:p>
    <w:p>
      <w:pPr>
        <w:spacing w:before="0" w:after="0"/>
      </w:pPr>
      <w:r>
        <w:rPr>
          <w:rFonts w:ascii="Times New Roman" w:hAnsi="Times New Roman"/>
          <w:i/>
          <w:sz w:val="16"/>
        </w:rPr>
        <w:t>[2] Statistical definitions: Model-based estimates, contrasts, confidence intervals, and p-values follow the model, covariate, missing-data, and multiplicity specifications in the SAP.</w:t>
      </w:r>
    </w:p>
    <w:p>
      <w:pPr>
        <w:spacing w:before="0" w:after="0"/>
      </w:pPr>
      <w:r>
        <w:rPr>
          <w:rFonts w:ascii="Times New Roman" w:hAnsi="Times New Roman"/>
          <w:i/>
          <w:sz w:val="16"/>
        </w:rPr>
        <w:t>[3] Dataset: ADSL, ADEFF. Program: t_sensitivity_eff.sas.</w:t>
      </w:r>
    </w:p>
    <w:p>
      <w:pPr>
        <w:spacing w:before="0" w:after="0"/>
      </w:pPr>
      <w:r>
        <w:rPr>
          <w:rFonts w:ascii="Times New Roman" w:hAnsi="Times New Roman"/>
          <w:i/>
          <w:sz w:val="16"/>
        </w:rPr>
        <w:t>[4] Note: Source listing is study-specific to the endpoint.</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14.2.5  Non-Inferiority Analysis of Primary Endpoint</w:t>
      </w:r>
      <w:r>
        <w:bookmarkStart w:id="0" w:name="T14.2.5"/>
        <w:bookmarkEnd w:id="0"/>
      </w:r>
    </w:p>
    <w:p>
      <w:pPr>
        <w:keepNext/>
        <w:spacing w:before="40" w:after="160"/>
      </w:pPr>
      <w:r>
        <w:rPr>
          <w:rFonts w:ascii="Times New Roman" w:hAnsi="Times New Roman"/>
          <w:i/>
          <w:sz w:val="18"/>
        </w:rPr>
        <w:t>Analysis Set: Per-Protocol (PP)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Primary Endpoint — LS Mean (SE)</w:t>
            </w:r>
          </w:p>
        </w:tc>
        <w:tc>
          <w:tcPr>
            <w:tcW w:type="dxa" w:w="2736"/>
          </w:tcPr>
          <w:p>
            <w:pPr>
              <w:spacing w:before="120" w:after="20" w:line="240" w:lineRule="exact"/>
              <w:jc w:val="center"/>
            </w:pPr>
            <w:r>
              <w:rPr>
                <w:rFonts w:ascii="Times New Roman" w:hAnsi="Times New Roman"/>
                <w:b/>
                <w:sz w:val="18"/>
              </w:rPr>
              <w:t>xx.x (xx.x)</w:t>
            </w:r>
          </w:p>
        </w:tc>
        <w:tc>
          <w:tcPr>
            <w:tcW w:type="dxa" w:w="2736"/>
          </w:tcPr>
          <w:p>
            <w:pPr>
              <w:spacing w:before="120" w:after="20" w:line="240" w:lineRule="exact"/>
              <w:jc w:val="center"/>
            </w:pPr>
            <w:r>
              <w:rPr>
                <w:rFonts w:ascii="Times New Roman" w:hAnsi="Times New Roman"/>
                <w:b/>
                <w:sz w:val="18"/>
              </w:rPr>
              <w:t>xx.x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xx.x (xx.x)</w:t>
            </w:r>
          </w:p>
        </w:tc>
      </w:tr>
      <w:tr>
        <w:tc>
          <w:tcPr>
            <w:tcW w:type="dxa" w:w="2736"/>
          </w:tcPr>
          <w:p>
            <w:pPr>
              <w:spacing w:before="20" w:after="20" w:line="240" w:lineRule="exact"/>
              <w:jc w:val="left"/>
            </w:pPr>
            <w:r>
              <w:rPr>
                <w:rFonts w:ascii="Times New Roman" w:hAnsi="Times New Roman"/>
                <w:b w:val="0"/>
                <w:sz w:val="18"/>
              </w:rPr>
              <w:t>Difference vs. Group 2 (95% CI)</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Non-Inferiority Margin (Δ)</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Lower Bound of 95% CI &gt; −Δ?</w:t>
            </w:r>
          </w:p>
        </w:tc>
        <w:tc>
          <w:tcPr>
            <w:tcW w:type="dxa" w:w="2736"/>
          </w:tcPr>
          <w:p>
            <w:pPr>
              <w:spacing w:before="20" w:after="20" w:line="240" w:lineRule="exact"/>
              <w:jc w:val="center"/>
            </w:pPr>
            <w:r>
              <w:rPr>
                <w:rFonts w:ascii="Times New Roman" w:hAnsi="Times New Roman"/>
                <w:b w:val="0"/>
                <w:sz w:val="18"/>
              </w:rPr>
              <w:t>Yes / No</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NI Conclusion</w:t>
            </w:r>
          </w:p>
        </w:tc>
        <w:tc>
          <w:tcPr>
            <w:tcW w:type="dxa" w:w="2736"/>
          </w:tcPr>
          <w:p>
            <w:pPr>
              <w:spacing w:before="120" w:after="20" w:line="240" w:lineRule="exact"/>
              <w:jc w:val="center"/>
            </w:pPr>
            <w:r>
              <w:rPr>
                <w:rFonts w:ascii="Times New Roman" w:hAnsi="Times New Roman"/>
                <w:b/>
                <w:sz w:val="18"/>
              </w:rPr>
              <w:t>Non-inferiority met / not met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NI margin per regulatory guidance. Analysis population: PP (primary), ITT (supportive).</w:t>
      </w:r>
    </w:p>
    <w:p>
      <w:pPr>
        <w:spacing w:before="0" w:after="0"/>
      </w:pPr>
      <w:r>
        <w:rPr>
          <w:rFonts w:ascii="Times New Roman" w:hAnsi="Times New Roman"/>
          <w:i/>
          <w:sz w:val="16"/>
        </w:rPr>
        <w:t>[2] Abbreviations: ITT = intent-to-treat; PP = per-protocol; NI = non-inferiority; LS = least squares; SE = standard error; CI = confidence interval.</w:t>
      </w:r>
    </w:p>
    <w:p>
      <w:pPr>
        <w:spacing w:before="0" w:after="0"/>
      </w:pPr>
      <w:r>
        <w:rPr>
          <w:rFonts w:ascii="Times New Roman" w:hAnsi="Times New Roman"/>
          <w:i/>
          <w:sz w:val="16"/>
        </w:rPr>
        <w:t>[3] Statistical definitions: Model-based estimates, contrasts, confidence intervals, and p-values follow the model, covariate, missing-data, and multiplicity specifications in the SAP.</w:t>
      </w:r>
    </w:p>
    <w:p>
      <w:pPr>
        <w:spacing w:before="0" w:after="0"/>
      </w:pPr>
      <w:r>
        <w:rPr>
          <w:rFonts w:ascii="Times New Roman" w:hAnsi="Times New Roman"/>
          <w:i/>
          <w:sz w:val="16"/>
        </w:rPr>
        <w:t>[4] Dataset: ADSL, ADEFF. Program: t_ni_analysis.sas.</w:t>
      </w:r>
    </w:p>
    <w:p>
      <w:pPr>
        <w:spacing w:before="0" w:after="0"/>
      </w:pPr>
      <w:r>
        <w:rPr>
          <w:rFonts w:ascii="Times New Roman" w:hAnsi="Times New Roman"/>
          <w:i/>
          <w:sz w:val="16"/>
        </w:rPr>
        <w:t>[5] Note: Source listing is study-specific to the endpoint.</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14.2.6  Tipping Point Analysis for Primary Endpoint</w:t>
      </w:r>
      <w:r>
        <w:bookmarkStart w:id="0" w:name="T14.2.6"/>
        <w:bookmarkEnd w:id="0"/>
      </w:r>
    </w:p>
    <w:p>
      <w:pPr>
        <w:keepNext/>
        <w:spacing w:before="40" w:after="160"/>
      </w:pPr>
      <w:r>
        <w:rPr>
          <w:rFonts w:ascii="Times New Roman" w:hAnsi="Times New Roman"/>
          <w:i/>
          <w:sz w:val="18"/>
        </w:rPr>
        <w:t>Analysis Set: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4560"/>
        <w:gridCol w:w="4560"/>
        <w:gridCol w:w="4560"/>
      </w:tblGrid>
      <w:tr>
        <w:trPr>
          <w:tblHeader w:val="true"/>
        </w:trPr>
        <w:tc>
          <w:tcPr>
            <w:tcW w:type="dxa" w:w="4560"/>
            <w:shd w:fill="F2F2F2" w:val="clear"/>
            <w:tcBorders>
              <w:bottom w:val="single" w:sz="4" w:space="0" w:color="000000"/>
            </w:tcBorders>
          </w:tcPr>
          <w:p>
            <w:pPr>
              <w:spacing w:before="0" w:after="0"/>
              <w:jc w:val="left"/>
            </w:pPr>
            <w:r>
              <w:rPr>
                <w:rFonts w:ascii="Times New Roman" w:hAnsi="Times New Roman"/>
                <w:b/>
                <w:sz w:val="18"/>
              </w:rPr>
              <w:t>Tipping Point Parameter</w:t>
            </w:r>
          </w:p>
          <w:p>
            <w:pPr>
              <w:spacing w:before="0" w:after="0"/>
              <w:jc w:val="left"/>
            </w:pPr>
            <w:r>
              <w:rPr>
                <w:rFonts w:ascii="Times New Roman" w:hAnsi="Times New Roman"/>
                <w:b/>
                <w:sz w:val="18"/>
              </w:rPr>
              <w:t>Shift Value</w:t>
            </w:r>
          </w:p>
        </w:tc>
        <w:tc>
          <w:tcPr>
            <w:tcW w:type="dxa" w:w="4560"/>
            <w:shd w:fill="F2F2F2" w:val="clear"/>
            <w:tcBorders>
              <w:bottom w:val="single" w:sz="4" w:space="0" w:color="000000"/>
            </w:tcBorders>
          </w:tcPr>
          <w:p>
            <w:pPr>
              <w:jc w:val="center"/>
            </w:pPr>
            <w:r>
              <w:rPr>
                <w:rFonts w:ascii="Times New Roman" w:hAnsi="Times New Roman"/>
                <w:b/>
                <w:sz w:val="18"/>
              </w:rPr>
              <w:t>p-value</w:t>
            </w:r>
          </w:p>
        </w:tc>
        <w:tc>
          <w:tcPr>
            <w:tcW w:type="dxa" w:w="4560"/>
            <w:shd w:fill="F2F2F2" w:val="clear"/>
            <w:tcBorders>
              <w:bottom w:val="single" w:sz="4" w:space="0" w:color="000000"/>
            </w:tcBorders>
          </w:tcPr>
          <w:p>
            <w:pPr>
              <w:jc w:val="center"/>
            </w:pPr>
            <w:r>
              <w:rPr>
                <w:rFonts w:ascii="Times New Roman" w:hAnsi="Times New Roman"/>
                <w:b/>
                <w:sz w:val="18"/>
              </w:rPr>
              <w:t>Conclusion</w:t>
            </w:r>
          </w:p>
        </w:tc>
      </w:tr>
      <w:tr>
        <w:tc>
          <w:tcPr>
            <w:tcW w:type="dxa" w:w="4560"/>
          </w:tcPr>
          <w:p>
            <w:pPr>
              <w:spacing w:before="20" w:after="20" w:line="240" w:lineRule="exact"/>
              <w:jc w:val="left"/>
            </w:pPr>
            <w:r>
              <w:rPr>
                <w:rFonts w:ascii="Times New Roman" w:hAnsi="Times New Roman"/>
                <w:b w:val="0"/>
                <w:sz w:val="18"/>
              </w:rPr>
              <w:t>Tipping Point Analysis</w:t>
            </w:r>
          </w:p>
        </w:tc>
        <w:tc>
          <w:tcPr>
            <w:tcW w:type="dxa" w:w="4560"/>
          </w:tcPr>
          <w:p>
            <w:pPr>
              <w:spacing w:before="20" w:after="20" w:line="240" w:lineRule="exact"/>
              <w:jc w:val="center"/>
            </w:pPr>
            <w:r>
              <w:rPr>
                <w:rFonts w:ascii="Times New Roman" w:hAnsi="Times New Roman"/>
                <w:b w:val="0"/>
                <w:sz w:val="18"/>
              </w:rPr>
            </w:r>
          </w:p>
        </w:tc>
        <w:tc>
          <w:tcPr>
            <w:tcW w:type="dxa" w:w="4560"/>
          </w:tcPr>
          <w:p>
            <w:pPr>
              <w:spacing w:before="20" w:after="20" w:line="240" w:lineRule="exact"/>
              <w:jc w:val="center"/>
            </w:pPr>
            <w:r>
              <w:rPr>
                <w:rFonts w:ascii="Times New Roman" w:hAnsi="Times New Roman"/>
                <w:b w:val="0"/>
                <w:sz w:val="18"/>
              </w:rPr>
            </w:r>
          </w:p>
        </w:tc>
      </w:tr>
      <w:tr>
        <w:tc>
          <w:tcPr>
            <w:tcW w:type="dxa" w:w="4560"/>
          </w:tcPr>
          <w:p>
            <w:pPr>
              <w:spacing w:before="20" w:after="20" w:line="240" w:lineRule="exact"/>
              <w:jc w:val="left"/>
            </w:pPr>
            <w:r>
              <w:rPr>
                <w:rFonts w:ascii="Times New Roman" w:hAnsi="Times New Roman"/>
                <w:b w:val="0"/>
                <w:sz w:val="18"/>
              </w:rPr>
              <w:t xml:space="preserve">  Placebo-arm shift (delta) = 0.0</w:t>
            </w:r>
          </w:p>
        </w:tc>
        <w:tc>
          <w:tcPr>
            <w:tcW w:type="dxa" w:w="4560"/>
          </w:tcPr>
          <w:p>
            <w:pPr>
              <w:spacing w:before="20" w:after="20" w:line="240" w:lineRule="exact"/>
              <w:jc w:val="center"/>
            </w:pPr>
            <w:r>
              <w:rPr>
                <w:rFonts w:ascii="Times New Roman" w:hAnsi="Times New Roman"/>
                <w:b w:val="0"/>
                <w:sz w:val="18"/>
              </w:rPr>
              <w:t>x.xxx</w:t>
            </w:r>
          </w:p>
        </w:tc>
        <w:tc>
          <w:tcPr>
            <w:tcW w:type="dxa" w:w="4560"/>
          </w:tcPr>
          <w:p>
            <w:pPr>
              <w:spacing w:before="20" w:after="20" w:line="240" w:lineRule="exact"/>
              <w:jc w:val="center"/>
            </w:pPr>
            <w:r>
              <w:rPr>
                <w:rFonts w:ascii="Times New Roman" w:hAnsi="Times New Roman"/>
                <w:b w:val="0"/>
                <w:sz w:val="18"/>
              </w:rPr>
              <w:t>Statistically significant</w:t>
            </w:r>
          </w:p>
        </w:tc>
      </w:tr>
      <w:tr>
        <w:tc>
          <w:tcPr>
            <w:tcW w:type="dxa" w:w="4560"/>
          </w:tcPr>
          <w:p>
            <w:pPr>
              <w:spacing w:before="20" w:after="20" w:line="240" w:lineRule="exact"/>
              <w:jc w:val="left"/>
            </w:pPr>
            <w:r>
              <w:rPr>
                <w:rFonts w:ascii="Times New Roman" w:hAnsi="Times New Roman"/>
                <w:b w:val="0"/>
                <w:sz w:val="18"/>
              </w:rPr>
              <w:t xml:space="preserve">  Placebo-arm shift (delta) = 0.5</w:t>
            </w:r>
          </w:p>
        </w:tc>
        <w:tc>
          <w:tcPr>
            <w:tcW w:type="dxa" w:w="4560"/>
          </w:tcPr>
          <w:p>
            <w:pPr>
              <w:spacing w:before="20" w:after="20" w:line="240" w:lineRule="exact"/>
              <w:jc w:val="center"/>
            </w:pPr>
            <w:r>
              <w:rPr>
                <w:rFonts w:ascii="Times New Roman" w:hAnsi="Times New Roman"/>
                <w:b w:val="0"/>
                <w:sz w:val="18"/>
              </w:rPr>
              <w:t>x.xxx</w:t>
            </w:r>
          </w:p>
        </w:tc>
        <w:tc>
          <w:tcPr>
            <w:tcW w:type="dxa" w:w="4560"/>
          </w:tcPr>
          <w:p>
            <w:pPr>
              <w:spacing w:before="20" w:after="20" w:line="240" w:lineRule="exact"/>
              <w:jc w:val="center"/>
            </w:pPr>
            <w:r>
              <w:rPr>
                <w:rFonts w:ascii="Times New Roman" w:hAnsi="Times New Roman"/>
                <w:b w:val="0"/>
                <w:sz w:val="18"/>
              </w:rPr>
              <w:t>Remains significant</w:t>
            </w:r>
          </w:p>
        </w:tc>
      </w:tr>
      <w:tr>
        <w:tc>
          <w:tcPr>
            <w:tcW w:type="dxa" w:w="4560"/>
          </w:tcPr>
          <w:p>
            <w:pPr>
              <w:spacing w:before="20" w:after="20" w:line="240" w:lineRule="exact"/>
              <w:jc w:val="left"/>
            </w:pPr>
            <w:r>
              <w:rPr>
                <w:rFonts w:ascii="Times New Roman" w:hAnsi="Times New Roman"/>
                <w:b w:val="0"/>
                <w:sz w:val="18"/>
              </w:rPr>
              <w:t xml:space="preserve">  Placebo-arm shift (delta) = 1.0</w:t>
            </w:r>
          </w:p>
        </w:tc>
        <w:tc>
          <w:tcPr>
            <w:tcW w:type="dxa" w:w="4560"/>
          </w:tcPr>
          <w:p>
            <w:pPr>
              <w:spacing w:before="20" w:after="20" w:line="240" w:lineRule="exact"/>
              <w:jc w:val="center"/>
            </w:pPr>
            <w:r>
              <w:rPr>
                <w:rFonts w:ascii="Times New Roman" w:hAnsi="Times New Roman"/>
                <w:b w:val="0"/>
                <w:sz w:val="18"/>
              </w:rPr>
              <w:t>x.xxx</w:t>
            </w:r>
          </w:p>
        </w:tc>
        <w:tc>
          <w:tcPr>
            <w:tcW w:type="dxa" w:w="4560"/>
          </w:tcPr>
          <w:p>
            <w:pPr>
              <w:spacing w:before="20" w:after="20" w:line="240" w:lineRule="exact"/>
              <w:jc w:val="center"/>
            </w:pPr>
            <w:r>
              <w:rPr>
                <w:rFonts w:ascii="Times New Roman" w:hAnsi="Times New Roman"/>
                <w:b w:val="0"/>
                <w:sz w:val="18"/>
              </w:rPr>
              <w:t>Borderline</w:t>
            </w:r>
          </w:p>
        </w:tc>
      </w:tr>
      <w:tr>
        <w:tc>
          <w:tcPr>
            <w:tcW w:type="dxa" w:w="4560"/>
          </w:tcPr>
          <w:p>
            <w:pPr>
              <w:spacing w:before="20" w:after="20" w:line="240" w:lineRule="exact"/>
              <w:jc w:val="left"/>
            </w:pPr>
            <w:r>
              <w:rPr>
                <w:rFonts w:ascii="Times New Roman" w:hAnsi="Times New Roman"/>
                <w:b w:val="0"/>
                <w:sz w:val="18"/>
              </w:rPr>
              <w:t xml:space="preserve">  Placebo-arm shift (delta) = 1.5</w:t>
            </w:r>
          </w:p>
        </w:tc>
        <w:tc>
          <w:tcPr>
            <w:tcW w:type="dxa" w:w="4560"/>
          </w:tcPr>
          <w:p>
            <w:pPr>
              <w:spacing w:before="20" w:after="20" w:line="240" w:lineRule="exact"/>
              <w:jc w:val="center"/>
            </w:pPr>
            <w:r>
              <w:rPr>
                <w:rFonts w:ascii="Times New Roman" w:hAnsi="Times New Roman"/>
                <w:b w:val="0"/>
                <w:sz w:val="18"/>
              </w:rPr>
              <w:t>x.xxx</w:t>
            </w:r>
          </w:p>
        </w:tc>
        <w:tc>
          <w:tcPr>
            <w:tcW w:type="dxa" w:w="4560"/>
          </w:tcPr>
          <w:p>
            <w:pPr>
              <w:spacing w:before="20" w:after="20" w:line="240" w:lineRule="exact"/>
              <w:jc w:val="center"/>
            </w:pPr>
            <w:r>
              <w:rPr>
                <w:rFonts w:ascii="Times New Roman" w:hAnsi="Times New Roman"/>
                <w:b w:val="0"/>
                <w:sz w:val="18"/>
              </w:rPr>
              <w:t>Not significant — tipping point reached</w:t>
            </w:r>
          </w:p>
        </w:tc>
      </w:tr>
      <w:tr>
        <w:tc>
          <w:tcPr>
            <w:tcW w:type="dxa" w:w="4560"/>
          </w:tcPr>
          <w:p>
            <w:pPr>
              <w:spacing w:before="20" w:after="20" w:line="240" w:lineRule="exact"/>
              <w:jc w:val="left"/>
            </w:pPr>
            <w:r>
              <w:rPr>
                <w:rFonts w:ascii="Times New Roman" w:hAnsi="Times New Roman"/>
                <w:b w:val="0"/>
                <w:sz w:val="18"/>
              </w:rPr>
              <w:t>[...]</w:t>
            </w:r>
          </w:p>
        </w:tc>
        <w:tc>
          <w:tcPr>
            <w:tcW w:type="dxa" w:w="4560"/>
          </w:tcPr>
          <w:p>
            <w:pPr>
              <w:spacing w:before="20" w:after="20" w:line="240" w:lineRule="exact"/>
              <w:jc w:val="center"/>
            </w:pPr>
            <w:r>
              <w:rPr>
                <w:rFonts w:ascii="Times New Roman" w:hAnsi="Times New Roman"/>
                <w:b w:val="0"/>
                <w:sz w:val="18"/>
              </w:rPr>
              <w:t>...</w:t>
            </w:r>
          </w:p>
        </w:tc>
        <w:tc>
          <w:tcPr>
            <w:tcW w:type="dxa" w:w="456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Abbreviations: ITT = intent-to-treat.</w:t>
      </w:r>
    </w:p>
    <w:p>
      <w:pPr>
        <w:spacing w:before="0" w:after="0"/>
      </w:pPr>
      <w:r>
        <w:rPr>
          <w:rFonts w:ascii="Times New Roman" w:hAnsi="Times New Roman"/>
          <w:i/>
          <w:sz w:val="16"/>
        </w:rPr>
        <w:t>[2] Statistical definitions: Model-based estimates, contrasts, confidence intervals, and p-values follow the model, covariate, missing-data, and multiplicity specifications in the SAP.</w:t>
      </w:r>
    </w:p>
    <w:p>
      <w:pPr>
        <w:spacing w:before="0" w:after="0"/>
      </w:pPr>
      <w:r>
        <w:rPr>
          <w:rFonts w:ascii="Times New Roman" w:hAnsi="Times New Roman"/>
          <w:i/>
          <w:sz w:val="16"/>
        </w:rPr>
        <w:t>[3] Dataset: ADSL, ADEFF. Program: t_tipping_point.sas.</w:t>
      </w:r>
    </w:p>
    <w:p>
      <w:pPr>
        <w:spacing w:before="0" w:after="0"/>
      </w:pPr>
      <w:r>
        <w:rPr>
          <w:rFonts w:ascii="Times New Roman" w:hAnsi="Times New Roman"/>
          <w:i/>
          <w:sz w:val="16"/>
        </w:rPr>
        <w:t>[4] Note: Source listing is study-specific to the endpoint.</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14.2.7  Sensitivity Analysis by Estimand Strategy</w:t>
      </w:r>
      <w:r>
        <w:bookmarkStart w:id="0" w:name="T14.2.7"/>
        <w:bookmarkEnd w:id="0"/>
      </w:r>
    </w:p>
    <w:p>
      <w:pPr>
        <w:keepNext/>
        <w:spacing w:before="40" w:after="160"/>
      </w:pPr>
      <w:r>
        <w:rPr>
          <w:rFonts w:ascii="Times New Roman" w:hAnsi="Times New Roman"/>
          <w:i/>
          <w:sz w:val="18"/>
        </w:rPr>
        <w:t>Analysis Set: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3420"/>
        <w:gridCol w:w="3420"/>
        <w:gridCol w:w="3420"/>
        <w:gridCol w:w="3420"/>
      </w:tblGrid>
      <w:tr>
        <w:trPr>
          <w:tblHeader w:val="true"/>
        </w:trPr>
        <w:tc>
          <w:tcPr>
            <w:tcW w:type="dxa" w:w="3420"/>
            <w:shd w:fill="F2F2F2" w:val="clear"/>
            <w:tcBorders>
              <w:bottom w:val="single" w:sz="4" w:space="0" w:color="000000"/>
            </w:tcBorders>
          </w:tcPr>
          <w:p>
            <w:pPr>
              <w:spacing w:before="0" w:after="0"/>
              <w:jc w:val="left"/>
            </w:pPr>
            <w:r>
              <w:rPr>
                <w:rFonts w:ascii="Times New Roman" w:hAnsi="Times New Roman"/>
                <w:b/>
                <w:sz w:val="18"/>
              </w:rPr>
              <w:t>Estimand Strategy</w:t>
            </w:r>
          </w:p>
          <w:p>
            <w:pPr>
              <w:spacing w:before="0" w:after="0"/>
              <w:jc w:val="left"/>
            </w:pPr>
            <w:r>
              <w:rPr>
                <w:rFonts w:ascii="Times New Roman" w:hAnsi="Times New Roman"/>
                <w:b/>
                <w:sz w:val="18"/>
              </w:rPr>
              <w:t>Intercurrent Event Handling</w:t>
            </w:r>
          </w:p>
        </w:tc>
        <w:tc>
          <w:tcPr>
            <w:tcW w:type="dxa" w:w="3420"/>
            <w:shd w:fill="F2F2F2" w:val="clear"/>
            <w:tcBorders>
              <w:bottom w:val="single" w:sz="4" w:space="0" w:color="000000"/>
            </w:tcBorders>
          </w:tcPr>
          <w:p>
            <w:pPr>
              <w:jc w:val="center"/>
            </w:pPr>
            <w:r>
              <w:rPr>
                <w:rFonts w:ascii="Times New Roman" w:hAnsi="Times New Roman"/>
                <w:b/>
                <w:sz w:val="18"/>
              </w:rPr>
              <w:t>Difference</w:t>
            </w:r>
          </w:p>
        </w:tc>
        <w:tc>
          <w:tcPr>
            <w:tcW w:type="dxa" w:w="3420"/>
            <w:shd w:fill="F2F2F2" w:val="clear"/>
            <w:tcBorders>
              <w:bottom w:val="single" w:sz="4" w:space="0" w:color="000000"/>
            </w:tcBorders>
          </w:tcPr>
          <w:p>
            <w:pPr>
              <w:jc w:val="center"/>
            </w:pPr>
            <w:r>
              <w:rPr>
                <w:rFonts w:ascii="Times New Roman" w:hAnsi="Times New Roman"/>
                <w:b/>
                <w:sz w:val="18"/>
              </w:rPr>
              <w:t>95% CI</w:t>
            </w:r>
          </w:p>
        </w:tc>
        <w:tc>
          <w:tcPr>
            <w:tcW w:type="dxa" w:w="3420"/>
            <w:shd w:fill="F2F2F2" w:val="clear"/>
            <w:tcBorders>
              <w:bottom w:val="single" w:sz="4" w:space="0" w:color="000000"/>
            </w:tcBorders>
          </w:tcPr>
          <w:p>
            <w:pPr>
              <w:jc w:val="center"/>
            </w:pPr>
            <w:r>
              <w:rPr>
                <w:rFonts w:ascii="Times New Roman" w:hAnsi="Times New Roman"/>
                <w:b/>
                <w:sz w:val="18"/>
              </w:rPr>
              <w:t>p-value</w:t>
            </w:r>
          </w:p>
        </w:tc>
      </w:tr>
      <w:tr>
        <w:tc>
          <w:tcPr>
            <w:tcW w:type="dxa" w:w="3420"/>
          </w:tcPr>
          <w:p>
            <w:pPr>
              <w:spacing w:before="20" w:after="20" w:line="240" w:lineRule="exact"/>
              <w:jc w:val="left"/>
            </w:pPr>
            <w:r>
              <w:rPr>
                <w:rFonts w:ascii="Times New Roman" w:hAnsi="Times New Roman"/>
                <w:b w:val="0"/>
                <w:sz w:val="18"/>
              </w:rPr>
              <w:t>Treatment Policy — Ignore rescue therapy</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[xx.x, xx.x]</w:t>
            </w:r>
          </w:p>
        </w:tc>
        <w:tc>
          <w:tcPr>
            <w:tcW w:type="dxa" w:w="3420"/>
          </w:tcPr>
          <w:p>
            <w:pPr>
              <w:spacing w:before="20" w:after="20" w:line="240" w:lineRule="exact"/>
              <w:jc w:val="center"/>
            </w:pPr>
            <w:r>
              <w:rPr>
                <w:rFonts w:ascii="Times New Roman" w:hAnsi="Times New Roman"/>
                <w:b w:val="0"/>
                <w:sz w:val="18"/>
              </w:rPr>
              <w:t>x.xxx</w:t>
            </w:r>
          </w:p>
        </w:tc>
      </w:tr>
      <w:tr>
        <w:tc>
          <w:tcPr>
            <w:tcW w:type="dxa" w:w="3420"/>
          </w:tcPr>
          <w:p>
            <w:pPr>
              <w:spacing w:before="20" w:after="20" w:line="240" w:lineRule="exact"/>
              <w:jc w:val="left"/>
            </w:pPr>
            <w:r>
              <w:rPr>
                <w:rFonts w:ascii="Times New Roman" w:hAnsi="Times New Roman"/>
                <w:b w:val="0"/>
                <w:sz w:val="18"/>
              </w:rPr>
              <w:t>Composite — Rescue = treatment failure</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[xx.x, xx.x]</w:t>
            </w:r>
          </w:p>
        </w:tc>
        <w:tc>
          <w:tcPr>
            <w:tcW w:type="dxa" w:w="3420"/>
          </w:tcPr>
          <w:p>
            <w:pPr>
              <w:spacing w:before="20" w:after="20" w:line="240" w:lineRule="exact"/>
              <w:jc w:val="center"/>
            </w:pPr>
            <w:r>
              <w:rPr>
                <w:rFonts w:ascii="Times New Roman" w:hAnsi="Times New Roman"/>
                <w:b w:val="0"/>
                <w:sz w:val="18"/>
              </w:rPr>
              <w:t>x.xxx</w:t>
            </w:r>
          </w:p>
        </w:tc>
      </w:tr>
      <w:tr>
        <w:tc>
          <w:tcPr>
            <w:tcW w:type="dxa" w:w="3420"/>
          </w:tcPr>
          <w:p>
            <w:pPr>
              <w:spacing w:before="20" w:after="20" w:line="240" w:lineRule="exact"/>
              <w:jc w:val="left"/>
            </w:pPr>
            <w:r>
              <w:rPr>
                <w:rFonts w:ascii="Times New Roman" w:hAnsi="Times New Roman"/>
                <w:b w:val="0"/>
                <w:sz w:val="18"/>
              </w:rPr>
              <w:t>Hypothetical — Rescue subjects censored</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[xx.x, xx.x]</w:t>
            </w:r>
          </w:p>
        </w:tc>
        <w:tc>
          <w:tcPr>
            <w:tcW w:type="dxa" w:w="3420"/>
          </w:tcPr>
          <w:p>
            <w:pPr>
              <w:spacing w:before="20" w:after="20" w:line="240" w:lineRule="exact"/>
              <w:jc w:val="center"/>
            </w:pPr>
            <w:r>
              <w:rPr>
                <w:rFonts w:ascii="Times New Roman" w:hAnsi="Times New Roman"/>
                <w:b w:val="0"/>
                <w:sz w:val="18"/>
              </w:rPr>
              <w:t>x.xxx</w:t>
            </w:r>
          </w:p>
        </w:tc>
      </w:tr>
      <w:tr>
        <w:tc>
          <w:tcPr>
            <w:tcW w:type="dxa" w:w="3420"/>
          </w:tcPr>
          <w:p>
            <w:pPr>
              <w:spacing w:before="20" w:after="20" w:line="240" w:lineRule="exact"/>
              <w:jc w:val="left"/>
            </w:pPr>
            <w:r>
              <w:rPr>
                <w:rFonts w:ascii="Times New Roman" w:hAnsi="Times New Roman"/>
                <w:b w:val="0"/>
                <w:sz w:val="18"/>
              </w:rPr>
              <w:t>[Additional rows omitted in master shell]</w:t>
            </w:r>
          </w:p>
        </w:tc>
        <w:tc>
          <w:tcPr>
            <w:tcW w:type="dxa" w:w="3420"/>
          </w:tcPr>
          <w:p>
            <w:pPr>
              <w:spacing w:before="20" w:after="20" w:line="240" w:lineRule="exact"/>
              <w:jc w:val="center"/>
            </w:pPr>
            <w:r>
              <w:rPr>
                <w:rFonts w:ascii="Times New Roman" w:hAnsi="Times New Roman"/>
                <w:b w:val="0"/>
                <w:sz w:val="18"/>
              </w:rPr>
            </w:r>
          </w:p>
        </w:tc>
        <w:tc>
          <w:tcPr>
            <w:tcW w:type="dxa" w:w="3420"/>
          </w:tcPr>
          <w:p>
            <w:pPr>
              <w:spacing w:before="20" w:after="20" w:line="240" w:lineRule="exact"/>
              <w:jc w:val="center"/>
            </w:pPr>
            <w:r>
              <w:rPr>
                <w:rFonts w:ascii="Times New Roman" w:hAnsi="Times New Roman"/>
                <w:b w:val="0"/>
                <w:sz w:val="18"/>
              </w:rPr>
            </w:r>
          </w:p>
        </w:tc>
        <w:tc>
          <w:tcPr>
            <w:tcW w:type="dxa" w:w="342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Abbreviations: ITT = intent-to-treat; CI = confidence interval.</w:t>
      </w:r>
    </w:p>
    <w:p>
      <w:pPr>
        <w:spacing w:before="0" w:after="0"/>
      </w:pPr>
      <w:r>
        <w:rPr>
          <w:rFonts w:ascii="Times New Roman" w:hAnsi="Times New Roman"/>
          <w:i/>
          <w:sz w:val="16"/>
        </w:rPr>
        <w:t>[2] Statistical definitions: Model-based estimates, contrasts, confidence intervals, and p-values follow the model, covariate, missing-data, and multiplicity specifications in the SAP.</w:t>
      </w:r>
    </w:p>
    <w:p>
      <w:pPr>
        <w:spacing w:before="0" w:after="0"/>
      </w:pPr>
      <w:r>
        <w:rPr>
          <w:rFonts w:ascii="Times New Roman" w:hAnsi="Times New Roman"/>
          <w:i/>
          <w:sz w:val="16"/>
        </w:rPr>
        <w:t>[3] Dataset: ADSL, ADEFF. Program: t_estimand_sens.sas.</w:t>
      </w:r>
    </w:p>
    <w:p>
      <w:pPr>
        <w:spacing w:before="0" w:after="0"/>
      </w:pPr>
      <w:r>
        <w:rPr>
          <w:rFonts w:ascii="Times New Roman" w:hAnsi="Times New Roman"/>
          <w:i/>
          <w:sz w:val="16"/>
        </w:rPr>
        <w:t>[4] Note: Source listing is study-specific to the endpoint.</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14.2.8  Time to Deterioration (TTD) — Quality of Life</w:t>
      </w:r>
      <w:r>
        <w:bookmarkStart w:id="0" w:name="T14.2.8"/>
        <w:bookmarkEnd w:id="0"/>
      </w:r>
    </w:p>
    <w:p>
      <w:pPr>
        <w:keepNext/>
        <w:spacing w:before="40" w:after="160"/>
      </w:pPr>
      <w:r>
        <w:rPr>
          <w:rFonts w:ascii="Times New Roman" w:hAnsi="Times New Roman"/>
          <w:i/>
          <w:sz w:val="18"/>
        </w:rPr>
        <w:t>Analysis Set: ITT Population with PRO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Number of Subjects</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20" w:after="20" w:line="240" w:lineRule="exact"/>
              <w:jc w:val="left"/>
            </w:pPr>
            <w:r>
              <w:rPr>
                <w:rFonts w:ascii="Times New Roman" w:hAnsi="Times New Roman"/>
                <w:b w:val="0"/>
                <w:sz w:val="18"/>
              </w:rPr>
              <w:t>Events,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Censored,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Median TTD, months (95% CI)</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xx.x (xx.x, xx.x)</w:t>
            </w:r>
          </w:p>
        </w:tc>
      </w:tr>
      <w:tr>
        <w:tc>
          <w:tcPr>
            <w:tcW w:type="dxa" w:w="2736"/>
          </w:tcPr>
          <w:p>
            <w:pPr>
              <w:spacing w:before="20" w:after="20" w:line="240" w:lineRule="exact"/>
              <w:jc w:val="left"/>
            </w:pPr>
            <w:r>
              <w:rPr>
                <w:rFonts w:ascii="Times New Roman" w:hAnsi="Times New Roman"/>
                <w:b w:val="0"/>
                <w:sz w:val="18"/>
              </w:rPr>
              <w:t>TTD Rate at 6 months, % (95% CI)</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 xx.x)</w:t>
            </w:r>
          </w:p>
        </w:tc>
      </w:tr>
      <w:tr>
        <w:tc>
          <w:tcPr>
            <w:tcW w:type="dxa" w:w="2736"/>
          </w:tcPr>
          <w:p>
            <w:pPr>
              <w:spacing w:before="20" w:after="20" w:line="240" w:lineRule="exact"/>
              <w:jc w:val="left"/>
            </w:pPr>
            <w:r>
              <w:rPr>
                <w:rFonts w:ascii="Times New Roman" w:hAnsi="Times New Roman"/>
                <w:b w:val="0"/>
                <w:sz w:val="18"/>
              </w:rPr>
              <w:t>TTD Rate at 12 months, % (95% CI)</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 xx.x)</w:t>
            </w:r>
          </w:p>
        </w:tc>
      </w:tr>
      <w:tr>
        <w:tc>
          <w:tcPr>
            <w:tcW w:type="dxa" w:w="2736"/>
          </w:tcPr>
          <w:p>
            <w:pPr>
              <w:spacing w:before="120" w:after="20" w:line="240" w:lineRule="exact"/>
              <w:jc w:val="left"/>
            </w:pPr>
            <w:r>
              <w:rPr>
                <w:rFonts w:ascii="Times New Roman" w:hAnsi="Times New Roman"/>
                <w:b/>
                <w:sz w:val="18"/>
              </w:rPr>
              <w:t>Hazard Ratio (95% CI)</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20" w:after="20" w:line="240" w:lineRule="exact"/>
              <w:jc w:val="left"/>
            </w:pPr>
            <w:r>
              <w:rPr>
                <w:rFonts w:ascii="Times New Roman" w:hAnsi="Times New Roman"/>
                <w:b w:val="0"/>
                <w:sz w:val="18"/>
              </w:rPr>
              <w:t>p-value (stratified log-rank)</w:t>
            </w:r>
          </w:p>
        </w:tc>
        <w:tc>
          <w:tcPr>
            <w:tcW w:type="dxa" w:w="2736"/>
          </w:tcPr>
          <w:p>
            <w:pPr>
              <w:spacing w:before="20" w:after="20" w:line="240" w:lineRule="exact"/>
              <w:jc w:val="center"/>
            </w:pPr>
            <w:r>
              <w:rPr>
                <w:rFonts w:ascii="Times New Roman" w:hAnsi="Times New Roman"/>
                <w:b w:val="0"/>
                <w:sz w:val="18"/>
              </w:rPr>
              <w:t>x.xxx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L16.2.18</w:t>
      </w:r>
    </w:p>
    <w:p>
      <w:pPr>
        <w:spacing w:before="0" w:after="0"/>
      </w:pPr>
      <w:r>
        <w:rPr>
          <w:rFonts w:ascii="Times New Roman" w:hAnsi="Times New Roman"/>
          <w:i/>
          <w:sz w:val="16"/>
        </w:rPr>
        <w:t>[2] TTD defined as time from randomization to first deterioration in [PRO instrument] score &gt;= [threshold] points.</w:t>
      </w:r>
    </w:p>
    <w:p>
      <w:pPr>
        <w:spacing w:before="0" w:after="0"/>
      </w:pPr>
      <w:r>
        <w:rPr>
          <w:rFonts w:ascii="Times New Roman" w:hAnsi="Times New Roman"/>
          <w:i/>
          <w:sz w:val="16"/>
        </w:rPr>
        <w:t>[3] KM estimates; Brookmeyer-Crowley CI for median. Stratified Cox/log-rank by baseline factors.</w:t>
      </w:r>
    </w:p>
    <w:p>
      <w:pPr>
        <w:spacing w:before="0" w:after="0"/>
      </w:pPr>
      <w:r>
        <w:rPr>
          <w:rFonts w:ascii="Times New Roman" w:hAnsi="Times New Roman"/>
          <w:i/>
          <w:sz w:val="16"/>
        </w:rPr>
        <w:t>[4] Abbreviations: ITT = intent-to-treat; TTD = time to treatment discontinuation; KM = Kaplan-Meier; CI = confidence interval; PRO = patient-reported outcome.</w:t>
      </w:r>
    </w:p>
    <w:p>
      <w:pPr>
        <w:spacing w:before="0" w:after="0"/>
      </w:pPr>
      <w:r>
        <w:rPr>
          <w:rFonts w:ascii="Times New Roman" w:hAnsi="Times New Roman"/>
          <w:i/>
          <w:sz w:val="16"/>
        </w:rPr>
        <w:t>[5]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[6] Dataset: ADSL, ADPRO. Program: t_ttd_qol.sas.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14.2.9  Tumor Response — Best Overall Response (BOR)</w:t>
      </w:r>
      <w:r>
        <w:bookmarkStart w:id="0" w:name="T14.2.9"/>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Best Overall Response (BOR)</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Complete Response (CR)</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Partial Response (PR)</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Stable Disease (SD)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Progressive Disease (PD)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Not Evaluable (NE)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Objective Response Rate (ORR = CR+PR)</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95% CI (Clopper-Pearson)</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Disease Group 2 Rate (DCR = CR+PR+SD)</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95% CI (Clopper-Pearson)</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RECIST v1.1 by Independent Central Review (ICR). Confirmed responses only (repeat assessment &gt;=4 weeks after initial response).</w:t>
      </w:r>
    </w:p>
    <w:p>
      <w:pPr>
        <w:spacing w:before="0" w:after="0"/>
      </w:pPr>
      <w:r>
        <w:rPr>
          <w:rFonts w:ascii="Times New Roman" w:hAnsi="Times New Roman"/>
          <w:i/>
          <w:sz w:val="16"/>
        </w:rPr>
        <w:t>[3] CR = Disappearance of all target and non-target lesions. PR = &gt;=30% decrease in sum of diameters.</w:t>
      </w:r>
    </w:p>
    <w:p>
      <w:pPr>
        <w:spacing w:before="0" w:after="0"/>
      </w:pPr>
      <w:r>
        <w:rPr>
          <w:rFonts w:ascii="Times New Roman" w:hAnsi="Times New Roman"/>
          <w:i/>
          <w:sz w:val="16"/>
        </w:rPr>
        <w:t>[4] 95% CI calculated using Clopper-Pearson exact method.</w:t>
      </w:r>
    </w:p>
    <w:p>
      <w:pPr>
        <w:spacing w:before="0" w:after="0"/>
      </w:pPr>
      <w:r>
        <w:rPr>
          <w:rFonts w:ascii="Times New Roman" w:hAnsi="Times New Roman"/>
          <w:i/>
          <w:sz w:val="16"/>
        </w:rPr>
        <w:t>[5] Abbreviations: ITT = intent-to-treat; BOR = best overall response; ORR = objective response rate; DCR = disease control rate; CR = complete response; PR = partial response; NE = not evaluable; RECIST = Response Evaluation Criteria in Solid Tumors; ICR = independent central review; CI = confidence interval; SD (response) = stable disease; PD = progressive disease.</w:t>
      </w:r>
    </w:p>
    <w:p>
      <w:pPr>
        <w:spacing w:before="0" w:after="0"/>
      </w:pPr>
      <w:r>
        <w:rPr>
          <w:rFonts w:ascii="Times New Roman" w:hAnsi="Times New Roman"/>
          <w:i/>
          <w:sz w:val="16"/>
        </w:rPr>
        <w:t>[6] Statistical definitions: Percentages use the stated analysis population within each treatment group unless otherwise specified.</w:t>
      </w:r>
    </w:p>
    <w:p>
      <w:pPr>
        <w:spacing w:before="0" w:after="0"/>
      </w:pPr>
      <w:r>
        <w:rPr>
          <w:rFonts w:ascii="Times New Roman" w:hAnsi="Times New Roman"/>
          <w:i/>
          <w:sz w:val="16"/>
        </w:rPr>
        <w:t>[7] Dataset: ADSL, ADRS. Program: t_bor.sas.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14.2.10  Tumor Response — Objective Response Rate (ORR)</w:t>
      </w:r>
      <w:r>
        <w:bookmarkStart w:id="0" w:name="T14.2.10"/>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Responders (CR+PR), n (%)</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95% CI (Clopper-Pearson)</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Stratified Analysis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Odds Ratio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p-value (CMH, stratified)</w:t>
            </w:r>
          </w:p>
        </w:tc>
        <w:tc>
          <w:tcPr>
            <w:tcW w:type="dxa" w:w="2736"/>
          </w:tcPr>
          <w:p>
            <w:pPr>
              <w:spacing w:before="0" w:after="20" w:line="240" w:lineRule="exact"/>
              <w:jc w:val="center"/>
            </w:pPr>
            <w:r>
              <w:rPr>
                <w:rFonts w:ascii="Times New Roman" w:hAnsi="Times New Roman"/>
                <w:b w:val="0"/>
                <w:sz w:val="18"/>
              </w:rPr>
              <w:t>x.xxx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Risk Difference, %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Sensitivity: Unconfirmed Responses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ORR = CR + PR per RECIST v1.1 (ICR). Confirmed responses only (&gt;=4 weeks after initial response).</w:t>
      </w:r>
    </w:p>
    <w:p>
      <w:pPr>
        <w:spacing w:before="0" w:after="0"/>
      </w:pPr>
      <w:r>
        <w:rPr>
          <w:rFonts w:ascii="Times New Roman" w:hAnsi="Times New Roman"/>
          <w:i/>
          <w:sz w:val="16"/>
        </w:rPr>
        <w:t>[3] CMH test stratified by randomization stratification factors.</w:t>
      </w:r>
    </w:p>
    <w:p>
      <w:pPr>
        <w:spacing w:before="0" w:after="0"/>
      </w:pPr>
      <w:r>
        <w:rPr>
          <w:rFonts w:ascii="Times New Roman" w:hAnsi="Times New Roman"/>
          <w:i/>
          <w:sz w:val="16"/>
        </w:rPr>
        <w:t>[4] Abbreviations: ITT = intent-to-treat; ORR = objective response rate; CR = complete response; PR = partial response; RECIST = Response Evaluation Criteria in Solid Tumors; ICR = independent central review; CMH = Cochran-Mantel-Haenszel; CI = confidence interval.</w:t>
      </w:r>
    </w:p>
    <w:p>
      <w:pPr>
        <w:spacing w:before="0" w:after="0"/>
      </w:pPr>
      <w:r>
        <w:rPr>
          <w:rFonts w:ascii="Times New Roman" w:hAnsi="Times New Roman"/>
          <w:i/>
          <w:sz w:val="16"/>
        </w:rPr>
        <w:t>[5] Statistical definitions: Percentages use the stated analysis population within each treatment group unless otherwise specified. Model-based estimates, contrasts, confidence intervals, and p-values follow the model, covariate, missing-data, and multiplicity specifications in the SAP.</w:t>
      </w:r>
    </w:p>
    <w:p>
      <w:pPr>
        <w:spacing w:before="0" w:after="0"/>
      </w:pPr>
      <w:r>
        <w:rPr>
          <w:rFonts w:ascii="Times New Roman" w:hAnsi="Times New Roman"/>
          <w:i/>
          <w:sz w:val="16"/>
        </w:rPr>
        <w:t>[6] Dataset: ADSL, ADRS. Program: t_orr.sas.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14.2.11  Tumor Response — Disease Control Rate (DCR)</w:t>
      </w:r>
      <w:r>
        <w:bookmarkStart w:id="0" w:name="T14.2.11"/>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DCR (CR+PR+SD), n (%)</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95% CI (Clopper-Pearson)</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Clinical Benefit Rate (CR+PR+SD&gt;=24 wks)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95% CI (Clopper-Pearson)</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DCR = CR + PR + SD (SD must be maintained for &gt;=6 weeks after first dose).</w:t>
      </w:r>
    </w:p>
    <w:p>
      <w:pPr>
        <w:spacing w:before="0" w:after="0"/>
      </w:pPr>
      <w:r>
        <w:rPr>
          <w:rFonts w:ascii="Times New Roman" w:hAnsi="Times New Roman"/>
          <w:i/>
          <w:sz w:val="16"/>
        </w:rPr>
        <w:t>[3] Clinical Benefit Rate defined as CR + PR + SD lasting &gt;=24 weeks.</w:t>
      </w:r>
    </w:p>
    <w:p>
      <w:pPr>
        <w:spacing w:before="0" w:after="0"/>
      </w:pPr>
      <w:r>
        <w:rPr>
          <w:rFonts w:ascii="Times New Roman" w:hAnsi="Times New Roman"/>
          <w:i/>
          <w:sz w:val="16"/>
        </w:rPr>
        <w:t>[4] Abbreviations: ITT = intent-to-treat; DCR = disease control rate; CR = complete response; PR = partial response; CI = confidence interval; SD (response) = stable disease.</w:t>
      </w:r>
    </w:p>
    <w:p>
      <w:pPr>
        <w:spacing w:before="0" w:after="0"/>
      </w:pPr>
      <w:r>
        <w:rPr>
          <w:rFonts w:ascii="Times New Roman" w:hAnsi="Times New Roman"/>
          <w:i/>
          <w:sz w:val="16"/>
        </w:rPr>
        <w:t>[5] Statistical definitions: Percentages use the stated analysis population within each treatment group unless otherwise specified.</w:t>
      </w:r>
    </w:p>
    <w:p>
      <w:pPr>
        <w:spacing w:before="0" w:after="0"/>
      </w:pPr>
      <w:r>
        <w:rPr>
          <w:rFonts w:ascii="Times New Roman" w:hAnsi="Times New Roman"/>
          <w:i/>
          <w:sz w:val="16"/>
        </w:rPr>
        <w:t>[6] Dataset: ADSL, ADRS. Program: t_dcr.sas.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14.2.12  Tumor Response — Duration of Response (DOR)</w:t>
      </w:r>
      <w:r>
        <w:bookmarkStart w:id="0" w:name="T14.2.12"/>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Responders (Confirmed CR or PR)</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Number of Responders</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20" w:after="20" w:line="240" w:lineRule="exact"/>
              <w:jc w:val="left"/>
            </w:pPr>
            <w:r>
              <w:rPr>
                <w:rFonts w:ascii="Times New Roman" w:hAnsi="Times New Roman"/>
                <w:b w:val="0"/>
                <w:sz w:val="18"/>
              </w:rPr>
              <w:t>Events (Progression or Death),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Censored,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Median DOR, months (95% CI)</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xx.x (xx.x, xx.x)</w:t>
            </w:r>
          </w:p>
        </w:tc>
      </w:tr>
      <w:tr>
        <w:tc>
          <w:tcPr>
            <w:tcW w:type="dxa" w:w="2736"/>
          </w:tcPr>
          <w:p>
            <w:pPr>
              <w:spacing w:before="20" w:after="20" w:line="240" w:lineRule="exact"/>
              <w:jc w:val="left"/>
            </w:pPr>
            <w:r>
              <w:rPr>
                <w:rFonts w:ascii="Times New Roman" w:hAnsi="Times New Roman"/>
                <w:b w:val="0"/>
                <w:sz w:val="18"/>
              </w:rPr>
              <w:t>DOR Rate at 6 months, % (95% CI)</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 xx.x)</w:t>
            </w:r>
          </w:p>
        </w:tc>
      </w:tr>
      <w:tr>
        <w:tc>
          <w:tcPr>
            <w:tcW w:type="dxa" w:w="2736"/>
          </w:tcPr>
          <w:p>
            <w:pPr>
              <w:spacing w:before="20" w:after="20" w:line="240" w:lineRule="exact"/>
              <w:jc w:val="left"/>
            </w:pPr>
            <w:r>
              <w:rPr>
                <w:rFonts w:ascii="Times New Roman" w:hAnsi="Times New Roman"/>
                <w:b w:val="0"/>
                <w:sz w:val="18"/>
              </w:rPr>
              <w:t>DOR Rate at 12 months, % (95% CI)</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t>xx.x (xx.x,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 xx.x)</w:t>
            </w:r>
          </w:p>
        </w:tc>
      </w:tr>
      <w:tr>
        <w:tc>
          <w:tcPr>
            <w:tcW w:type="dxa" w:w="2736"/>
          </w:tcPr>
          <w:p>
            <w:pPr>
              <w:spacing w:before="120" w:after="20" w:line="240" w:lineRule="exact"/>
              <w:jc w:val="left"/>
            </w:pPr>
            <w:r>
              <w:rPr>
                <w:rFonts w:ascii="Times New Roman" w:hAnsi="Times New Roman"/>
                <w:b/>
                <w:sz w:val="18"/>
              </w:rPr>
              <w:t>Hazard Ratio (95% CI)</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20" w:after="20" w:line="240" w:lineRule="exact"/>
              <w:jc w:val="left"/>
            </w:pPr>
            <w:r>
              <w:rPr>
                <w:rFonts w:ascii="Times New Roman" w:hAnsi="Times New Roman"/>
                <w:b w:val="0"/>
                <w:sz w:val="18"/>
              </w:rPr>
              <w:t>p-value (stratified log-rank)</w:t>
            </w:r>
          </w:p>
        </w:tc>
        <w:tc>
          <w:tcPr>
            <w:tcW w:type="dxa" w:w="2736"/>
          </w:tcPr>
          <w:p>
            <w:pPr>
              <w:spacing w:before="20" w:after="20" w:line="240" w:lineRule="exact"/>
              <w:jc w:val="center"/>
            </w:pPr>
            <w:r>
              <w:rPr>
                <w:rFonts w:ascii="Times New Roman" w:hAnsi="Times New Roman"/>
                <w:b w:val="0"/>
                <w:sz w:val="18"/>
              </w:rPr>
              <w:t>x.xxx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DOR: time from first documented CR/PR to first PD (RECIST 1.1, ICR) or death.</w:t>
      </w:r>
    </w:p>
    <w:p>
      <w:pPr>
        <w:spacing w:before="0" w:after="0"/>
      </w:pPr>
      <w:r>
        <w:rPr>
          <w:rFonts w:ascii="Times New Roman" w:hAnsi="Times New Roman"/>
          <w:i/>
          <w:sz w:val="16"/>
        </w:rPr>
        <w:t>[3] KM estimates; Brookmeyer-Crowley CI for median. Stratified Cox/log-rank by baseline factors.</w:t>
      </w:r>
    </w:p>
    <w:p>
      <w:pPr>
        <w:spacing w:before="0" w:after="0"/>
      </w:pPr>
      <w:r>
        <w:rPr>
          <w:rFonts w:ascii="Times New Roman" w:hAnsi="Times New Roman"/>
          <w:i/>
          <w:sz w:val="16"/>
        </w:rPr>
        <w:t>[4] Abbreviations: DOR = duration of response; CR = complete response; PR = partial response; RECIST = Response Evaluation Criteria in Solid Tumors; ICR = independent central review; KM = Kaplan-Meier; CI = confidence interval; PD = progressive disease.</w:t>
      </w:r>
    </w:p>
    <w:p>
      <w:pPr>
        <w:spacing w:before="0" w:after="0"/>
      </w:pPr>
      <w:r>
        <w:rPr>
          <w:rFonts w:ascii="Times New Roman" w:hAnsi="Times New Roman"/>
          <w:i/>
          <w:sz w:val="16"/>
        </w:rPr>
        <w:t>[5]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[6] Dataset: ADSL, ADRS, ADTTE. Program: t_dor.sas.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14.2.13  Tumor Response — Time to Response (TTR)</w:t>
      </w:r>
      <w:r>
        <w:bookmarkStart w:id="0" w:name="T14.2.13"/>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Responders (Confirmed CR or PR)</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Number of Responders</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20" w:after="20" w:line="240" w:lineRule="exact"/>
              <w:jc w:val="left"/>
            </w:pPr>
            <w:r>
              <w:rPr>
                <w:rFonts w:ascii="Times New Roman" w:hAnsi="Times New Roman"/>
                <w:b w:val="0"/>
                <w:sz w:val="18"/>
              </w:rPr>
              <w:t>Mean (SD), months</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Median, months</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w:t>
            </w:r>
          </w:p>
        </w:tc>
      </w:tr>
      <w:tr>
        <w:tc>
          <w:tcPr>
            <w:tcW w:type="dxa" w:w="2736"/>
          </w:tcPr>
          <w:p>
            <w:pPr>
              <w:spacing w:before="20" w:after="20" w:line="240" w:lineRule="exact"/>
              <w:jc w:val="left"/>
            </w:pPr>
            <w:r>
              <w:rPr>
                <w:rFonts w:ascii="Times New Roman" w:hAnsi="Times New Roman"/>
                <w:b w:val="0"/>
                <w:sz w:val="18"/>
              </w:rPr>
              <w:t>Min, Max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&lt;=12 weeks,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&gt;12 to 24 weeks,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&gt;24 weeks,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TTR: time from randomization to first documented CR or PR (confirmed).</w:t>
      </w:r>
    </w:p>
    <w:p>
      <w:pPr>
        <w:spacing w:before="0" w:after="0"/>
      </w:pPr>
      <w:r>
        <w:rPr>
          <w:rFonts w:ascii="Times New Roman" w:hAnsi="Times New Roman"/>
          <w:i/>
          <w:sz w:val="16"/>
        </w:rPr>
        <w:t>[3] Abbreviations: TTR = time to response; CR = complete response; PR = partial response; SD = standard deviation; SD (response) = stable disease.</w:t>
      </w:r>
    </w:p>
    <w:p>
      <w:pPr>
        <w:spacing w:before="0" w:after="0"/>
      </w:pPr>
      <w:r>
        <w:rPr>
          <w:rFonts w:ascii="Times New Roman" w:hAnsi="Times New Roman"/>
          <w:i/>
          <w:sz w:val="16"/>
        </w:rPr>
        <w:t>[4] Statistical definitions: Percentages use the stated analysis population within each treatment group unless otherwise specified. Descriptive statistics are calculated from non-missing observations unless the SAP states otherwise. Time origin, event definitions, and censoring rules follow the endpoint specifications in the SAP.</w:t>
      </w:r>
    </w:p>
    <w:p>
      <w:pPr>
        <w:spacing w:before="0" w:after="0"/>
      </w:pPr>
      <w:r>
        <w:rPr>
          <w:rFonts w:ascii="Times New Roman" w:hAnsi="Times New Roman"/>
          <w:i/>
          <w:sz w:val="16"/>
        </w:rPr>
        <w:t>[5] Dataset: ADSL, ADRS. Program: t_ttr.sas.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14.2.14  Progression-Free Survival (PFS) — Primary Analysis</w:t>
      </w:r>
      <w:r>
        <w:bookmarkStart w:id="0" w:name="T14.2.14"/>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Number of Subjects</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20" w:after="20" w:line="240" w:lineRule="exact"/>
              <w:jc w:val="left"/>
            </w:pPr>
            <w:r>
              <w:rPr>
                <w:rFonts w:ascii="Times New Roman" w:hAnsi="Times New Roman"/>
                <w:b w:val="0"/>
                <w:sz w:val="18"/>
              </w:rPr>
              <w:t>Events (Progression or Death),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Censored,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Median PFS, months (95% CI)</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xx.x (xx.x, xx.x)</w:t>
            </w:r>
          </w:p>
        </w:tc>
      </w:tr>
      <w:tr>
        <w:tc>
          <w:tcPr>
            <w:tcW w:type="dxa" w:w="2736"/>
          </w:tcPr>
          <w:p>
            <w:pPr>
              <w:spacing w:before="120" w:after="20" w:line="240" w:lineRule="exact"/>
              <w:jc w:val="left"/>
            </w:pPr>
            <w:r>
              <w:rPr>
                <w:rFonts w:ascii="Times New Roman" w:hAnsi="Times New Roman"/>
                <w:b/>
                <w:sz w:val="18"/>
              </w:rPr>
              <w:t>Stratified Cox Model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Hazard Ratio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p-value (stratified log-rank)</w:t>
            </w:r>
          </w:p>
        </w:tc>
        <w:tc>
          <w:tcPr>
            <w:tcW w:type="dxa" w:w="2736"/>
          </w:tcPr>
          <w:p>
            <w:pPr>
              <w:spacing w:before="0" w:after="20" w:line="240" w:lineRule="exact"/>
              <w:jc w:val="center"/>
            </w:pPr>
            <w:r>
              <w:rPr>
                <w:rFonts w:ascii="Times New Roman" w:hAnsi="Times New Roman"/>
                <w:b w:val="0"/>
                <w:sz w:val="18"/>
              </w:rPr>
              <w:t>x.xxx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PFS Rate (KM Estimate)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6-month PFS Rate, %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 xx.x)</w:t>
            </w:r>
          </w:p>
        </w:tc>
      </w:tr>
      <w:tr>
        <w:tc>
          <w:tcPr>
            <w:tcW w:type="dxa" w:w="2736"/>
          </w:tcPr>
          <w:p>
            <w:pPr>
              <w:spacing w:before="0" w:after="20" w:line="240" w:lineRule="exact"/>
              <w:jc w:val="left"/>
            </w:pPr>
            <w:r>
              <w:rPr>
                <w:rFonts w:ascii="Times New Roman" w:hAnsi="Times New Roman"/>
                <w:b w:val="0"/>
                <w:sz w:val="18"/>
              </w:rPr>
              <w:t xml:space="preserve">      12-month PFS Rate, %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 xx.x)</w:t>
            </w:r>
          </w:p>
        </w:tc>
      </w:tr>
      <w:tr>
        <w:tc>
          <w:tcPr>
            <w:tcW w:type="dxa" w:w="2736"/>
          </w:tcPr>
          <w:p>
            <w:pPr>
              <w:spacing w:before="0" w:after="20" w:line="240" w:lineRule="exact"/>
              <w:jc w:val="left"/>
            </w:pPr>
            <w:r>
              <w:rPr>
                <w:rFonts w:ascii="Times New Roman" w:hAnsi="Times New Roman"/>
                <w:b w:val="0"/>
                <w:sz w:val="18"/>
              </w:rPr>
              <w:t xml:space="preserve">      18-month PFS Rate, %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L16.2.11</w:t>
      </w:r>
    </w:p>
    <w:p>
      <w:pPr>
        <w:spacing w:before="0" w:after="0"/>
      </w:pPr>
      <w:r>
        <w:rPr>
          <w:rFonts w:ascii="Times New Roman" w:hAnsi="Times New Roman"/>
          <w:i/>
          <w:sz w:val="16"/>
        </w:rPr>
        <w:t>[2] PFS: time from randomization to first documented PD (RECIST 1.1, ICR) or death from any cause.</w:t>
      </w:r>
    </w:p>
    <w:p>
      <w:pPr>
        <w:spacing w:before="0" w:after="0"/>
      </w:pPr>
      <w:r>
        <w:rPr>
          <w:rFonts w:ascii="Times New Roman" w:hAnsi="Times New Roman"/>
          <w:i/>
          <w:sz w:val="16"/>
        </w:rPr>
        <w:t>[3] KM estimates. Brookmeyer-Crowley CI for median. Greenwood CI for landmark rates.</w:t>
      </w:r>
    </w:p>
    <w:p>
      <w:pPr>
        <w:spacing w:before="0" w:after="0"/>
      </w:pPr>
      <w:r>
        <w:rPr>
          <w:rFonts w:ascii="Times New Roman" w:hAnsi="Times New Roman"/>
          <w:i/>
          <w:sz w:val="16"/>
        </w:rPr>
        <w:t>[4] Stratified Cox/log-rank by baseline stratification factors (ECOG PS, disease stage, prior lines).</w:t>
      </w:r>
    </w:p>
    <w:p>
      <w:pPr>
        <w:spacing w:before="0" w:after="0"/>
      </w:pPr>
      <w:r>
        <w:rPr>
          <w:rFonts w:ascii="Times New Roman" w:hAnsi="Times New Roman"/>
          <w:i/>
          <w:sz w:val="16"/>
        </w:rPr>
        <w:t>[5] Abbreviations: ECOG = Eastern Cooperative Oncology Group; ITT = intent-to-treat; PFS = progression-free survival; RECIST = Response Evaluation Criteria in Solid Tumors; ICR = independent central review; KM = Kaplan-Meier; CI = confidence interval; PD = pharmacodynamic.</w:t>
      </w:r>
    </w:p>
    <w:p>
      <w:pPr>
        <w:spacing w:before="0" w:after="0"/>
      </w:pPr>
      <w:r>
        <w:rPr>
          <w:rFonts w:ascii="Times New Roman" w:hAnsi="Times New Roman"/>
          <w:i/>
          <w:sz w:val="16"/>
        </w:rPr>
        <w:t>[6]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[7] Dataset: ADSL, ADTTE. Program: t_pfs_primary.sas.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14.2.15  Overall Survival (OS) — Primary Analysis</w:t>
      </w:r>
      <w:r>
        <w:bookmarkStart w:id="0" w:name="T14.2.15"/>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Number of Subjects</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20" w:after="20" w:line="240" w:lineRule="exact"/>
              <w:jc w:val="left"/>
            </w:pPr>
            <w:r>
              <w:rPr>
                <w:rFonts w:ascii="Times New Roman" w:hAnsi="Times New Roman"/>
                <w:b w:val="0"/>
                <w:sz w:val="18"/>
              </w:rPr>
              <w:t>Deaths,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Censored,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Median OS, months (95% CI)</w:t>
            </w:r>
          </w:p>
        </w:tc>
        <w:tc>
          <w:tcPr>
            <w:tcW w:type="dxa" w:w="2736"/>
          </w:tcPr>
          <w:p>
            <w:pPr>
              <w:spacing w:before="120" w:after="20" w:line="240" w:lineRule="exact"/>
              <w:jc w:val="center"/>
            </w:pPr>
            <w:r>
              <w:rPr>
                <w:rFonts w:ascii="Times New Roman" w:hAnsi="Times New Roman"/>
                <w:b/>
                <w:sz w:val="18"/>
              </w:rPr>
              <w:t>xx.x (xx.x, NR)</w:t>
            </w:r>
          </w:p>
        </w:tc>
        <w:tc>
          <w:tcPr>
            <w:tcW w:type="dxa" w:w="2736"/>
          </w:tcPr>
          <w:p>
            <w:pPr>
              <w:spacing w:before="120" w:after="20" w:line="240" w:lineRule="exact"/>
              <w:jc w:val="center"/>
            </w:pPr>
            <w:r>
              <w:rPr>
                <w:rFonts w:ascii="Times New Roman" w:hAnsi="Times New Roman"/>
                <w:b/>
                <w:sz w:val="18"/>
              </w:rPr>
              <w:t>xx.x (xx.x, NR)</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xx.x (xx.x, NR)</w:t>
            </w:r>
          </w:p>
        </w:tc>
      </w:tr>
      <w:tr>
        <w:tc>
          <w:tcPr>
            <w:tcW w:type="dxa" w:w="2736"/>
          </w:tcPr>
          <w:p>
            <w:pPr>
              <w:spacing w:before="120" w:after="20" w:line="240" w:lineRule="exact"/>
              <w:jc w:val="left"/>
            </w:pPr>
            <w:r>
              <w:rPr>
                <w:rFonts w:ascii="Times New Roman" w:hAnsi="Times New Roman"/>
                <w:b/>
                <w:sz w:val="18"/>
              </w:rPr>
              <w:t>Stratified Cox Model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Hazard Ratio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p-value (stratified log-rank)</w:t>
            </w:r>
          </w:p>
        </w:tc>
        <w:tc>
          <w:tcPr>
            <w:tcW w:type="dxa" w:w="2736"/>
          </w:tcPr>
          <w:p>
            <w:pPr>
              <w:spacing w:before="0" w:after="20" w:line="240" w:lineRule="exact"/>
              <w:jc w:val="center"/>
            </w:pPr>
            <w:r>
              <w:rPr>
                <w:rFonts w:ascii="Times New Roman" w:hAnsi="Times New Roman"/>
                <w:b w:val="0"/>
                <w:sz w:val="18"/>
              </w:rPr>
              <w:t>x.xxx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OS Rate (KM Estimate)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6-month OS Rate, %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 xx.x)</w:t>
            </w:r>
          </w:p>
        </w:tc>
      </w:tr>
      <w:tr>
        <w:tc>
          <w:tcPr>
            <w:tcW w:type="dxa" w:w="2736"/>
          </w:tcPr>
          <w:p>
            <w:pPr>
              <w:spacing w:before="0" w:after="20" w:line="240" w:lineRule="exact"/>
              <w:jc w:val="left"/>
            </w:pPr>
            <w:r>
              <w:rPr>
                <w:rFonts w:ascii="Times New Roman" w:hAnsi="Times New Roman"/>
                <w:b w:val="0"/>
                <w:sz w:val="18"/>
              </w:rPr>
              <w:t xml:space="preserve">      12-month OS Rate, %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 xx.x)</w:t>
            </w:r>
          </w:p>
        </w:tc>
      </w:tr>
      <w:tr>
        <w:tc>
          <w:tcPr>
            <w:tcW w:type="dxa" w:w="2736"/>
          </w:tcPr>
          <w:p>
            <w:pPr>
              <w:spacing w:before="0" w:after="20" w:line="240" w:lineRule="exact"/>
              <w:jc w:val="left"/>
            </w:pPr>
            <w:r>
              <w:rPr>
                <w:rFonts w:ascii="Times New Roman" w:hAnsi="Times New Roman"/>
                <w:b w:val="0"/>
                <w:sz w:val="18"/>
              </w:rPr>
              <w:t xml:space="preserve">      24-month OS Rate, % (95% CI)</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xx.x (xx.x,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L16.2.11</w:t>
      </w:r>
    </w:p>
    <w:p>
      <w:pPr>
        <w:spacing w:before="0" w:after="0"/>
      </w:pPr>
      <w:r>
        <w:rPr>
          <w:rFonts w:ascii="Times New Roman" w:hAnsi="Times New Roman"/>
          <w:i/>
          <w:sz w:val="16"/>
        </w:rPr>
        <w:t>[2] OS: time from randomization to death from any cause. NR = Not Reached.</w:t>
      </w:r>
    </w:p>
    <w:p>
      <w:pPr>
        <w:spacing w:before="0" w:after="0"/>
      </w:pPr>
      <w:r>
        <w:rPr>
          <w:rFonts w:ascii="Times New Roman" w:hAnsi="Times New Roman"/>
          <w:i/>
          <w:sz w:val="16"/>
        </w:rPr>
        <w:t>[3] KM estimates. Brookmeyer-Crowley CI for median. Greenwood CI for landmark rates.</w:t>
      </w:r>
    </w:p>
    <w:p>
      <w:pPr>
        <w:spacing w:before="0" w:after="0"/>
      </w:pPr>
      <w:r>
        <w:rPr>
          <w:rFonts w:ascii="Times New Roman" w:hAnsi="Times New Roman"/>
          <w:i/>
          <w:sz w:val="16"/>
        </w:rPr>
        <w:t>[4] Stratified Cox/log-rank by baseline stratification factors.</w:t>
      </w:r>
    </w:p>
    <w:p>
      <w:pPr>
        <w:spacing w:before="0" w:after="0"/>
      </w:pPr>
      <w:r>
        <w:rPr>
          <w:rFonts w:ascii="Times New Roman" w:hAnsi="Times New Roman"/>
          <w:i/>
          <w:sz w:val="16"/>
        </w:rPr>
        <w:t>[5] Abbreviations: ITT = intent-to-treat; OS = overall survival; KM = Kaplan-Meier; CI = confidence interval.</w:t>
      </w:r>
    </w:p>
    <w:p>
      <w:pPr>
        <w:spacing w:before="0" w:after="0"/>
      </w:pPr>
      <w:r>
        <w:rPr>
          <w:rFonts w:ascii="Times New Roman" w:hAnsi="Times New Roman"/>
          <w:i/>
          <w:sz w:val="16"/>
        </w:rPr>
        <w:t>[6]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[7] Dataset: ADSL, ADTTE. Program: t_os_primary.sas.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14.2.16  PFS — Sensitivity Analysis</w:t>
      </w:r>
      <w:r>
        <w:bookmarkStart w:id="0" w:name="T14.2.16"/>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Analysis</w:t>
            </w:r>
          </w:p>
        </w:tc>
        <w:tc>
          <w:tcPr>
            <w:tcW w:type="dxa" w:w="2280"/>
            <w:shd w:fill="F2F2F2" w:val="clear"/>
            <w:tcBorders>
              <w:bottom w:val="single" w:sz="4" w:space="0" w:color="000000"/>
            </w:tcBorders>
          </w:tcPr>
          <w:p>
            <w:pPr>
              <w:spacing w:before="0" w:after="0"/>
              <w:jc w:val="center"/>
            </w:pPr>
            <w:r>
              <w:rPr>
                <w:rFonts w:ascii="Times New Roman" w:hAnsi="Times New Roman"/>
                <w:b/>
                <w:sz w:val="18"/>
              </w:rPr>
              <w:t>Med PFS Group 1</w:t>
            </w:r>
          </w:p>
          <w:p>
            <w:pPr>
              <w:spacing w:before="0" w:after="0"/>
              <w:jc w:val="center"/>
            </w:pPr>
            <w:r>
              <w:rPr>
                <w:rFonts w:ascii="Times New Roman" w:hAnsi="Times New Roman"/>
                <w:b/>
                <w:sz w:val="18"/>
              </w:rPr>
              <w:t>(months)</w:t>
            </w:r>
          </w:p>
        </w:tc>
        <w:tc>
          <w:tcPr>
            <w:tcW w:type="dxa" w:w="2280"/>
            <w:shd w:fill="F2F2F2" w:val="clear"/>
            <w:tcBorders>
              <w:bottom w:val="single" w:sz="4" w:space="0" w:color="000000"/>
            </w:tcBorders>
          </w:tcPr>
          <w:p>
            <w:pPr>
              <w:spacing w:before="0" w:after="0"/>
              <w:jc w:val="center"/>
            </w:pPr>
            <w:r>
              <w:rPr>
                <w:rFonts w:ascii="Times New Roman" w:hAnsi="Times New Roman"/>
                <w:b/>
                <w:sz w:val="18"/>
              </w:rPr>
              <w:t>Med PFS Group 2</w:t>
            </w:r>
          </w:p>
          <w:p>
            <w:pPr>
              <w:spacing w:before="0" w:after="0"/>
              <w:jc w:val="center"/>
            </w:pPr>
            <w:r>
              <w:rPr>
                <w:rFonts w:ascii="Times New Roman" w:hAnsi="Times New Roman"/>
                <w:b/>
                <w:sz w:val="18"/>
              </w:rPr>
              <w:t>(months)</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jc w:val="center"/>
            </w:pPr>
            <w:r>
              <w:rPr>
                <w:rFonts w:ascii="Times New Roman" w:hAnsi="Times New Roman"/>
                <w:b/>
                <w:sz w:val="18"/>
              </w:rPr>
              <w:t>HR [95% CI]</w:t>
            </w:r>
          </w:p>
        </w:tc>
        <w:tc>
          <w:tcPr>
            <w:tcW w:type="dxa" w:w="2280"/>
            <w:shd w:fill="F2F2F2" w:val="clear"/>
            <w:tcBorders>
              <w:bottom w:val="single" w:sz="4" w:space="0" w:color="000000"/>
            </w:tcBorders>
          </w:tcPr>
          <w:p>
            <w:pPr>
              <w:jc w:val="center"/>
            </w:pPr>
            <w:r>
              <w:rPr>
                <w:rFonts w:ascii="Times New Roman" w:hAnsi="Times New Roman"/>
                <w:b/>
                <w:sz w:val="18"/>
              </w:rPr>
              <w:t>p-value</w:t>
            </w:r>
          </w:p>
        </w:tc>
      </w:tr>
      <w:tr>
        <w:tc>
          <w:tcPr>
            <w:tcW w:type="dxa" w:w="2280"/>
          </w:tcPr>
          <w:p>
            <w:pPr>
              <w:spacing w:before="20" w:after="20" w:line="240" w:lineRule="exact"/>
              <w:jc w:val="left"/>
            </w:pPr>
            <w:r>
              <w:rPr>
                <w:rFonts w:ascii="Times New Roman" w:hAnsi="Times New Roman"/>
                <w:b w:val="0"/>
                <w:sz w:val="18"/>
              </w:rPr>
              <w:t>Primary (ICR, RECIST 1.1)</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 x.xx]</w:t>
            </w:r>
          </w:p>
        </w:tc>
        <w:tc>
          <w:tcPr>
            <w:tcW w:type="dxa" w:w="2280"/>
          </w:tcPr>
          <w:p>
            <w:pPr>
              <w:spacing w:before="20" w:after="20" w:line="240" w:lineRule="exact"/>
              <w:jc w:val="center"/>
            </w:pPr>
            <w:r>
              <w:rPr>
                <w:rFonts w:ascii="Times New Roman" w:hAnsi="Times New Roman"/>
                <w:b w:val="0"/>
                <w:sz w:val="18"/>
              </w:rPr>
              <w:t>x.xxx</w:t>
            </w:r>
          </w:p>
        </w:tc>
      </w:tr>
      <w:tr>
        <w:tc>
          <w:tcPr>
            <w:tcW w:type="dxa" w:w="2280"/>
          </w:tcPr>
          <w:p>
            <w:pPr>
              <w:spacing w:before="20" w:after="20" w:line="240" w:lineRule="exact"/>
              <w:jc w:val="left"/>
            </w:pPr>
            <w:r>
              <w:rPr>
                <w:rFonts w:ascii="Times New Roman" w:hAnsi="Times New Roman"/>
                <w:b w:val="0"/>
                <w:sz w:val="18"/>
              </w:rPr>
              <w:t>Investigator Assessment</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 x.xx]</w:t>
            </w:r>
          </w:p>
        </w:tc>
        <w:tc>
          <w:tcPr>
            <w:tcW w:type="dxa" w:w="2280"/>
          </w:tcPr>
          <w:p>
            <w:pPr>
              <w:spacing w:before="20" w:after="20" w:line="240" w:lineRule="exact"/>
              <w:jc w:val="center"/>
            </w:pPr>
            <w:r>
              <w:rPr>
                <w:rFonts w:ascii="Times New Roman" w:hAnsi="Times New Roman"/>
                <w:b w:val="0"/>
                <w:sz w:val="18"/>
              </w:rPr>
              <w:t>x.xxx</w:t>
            </w:r>
          </w:p>
        </w:tc>
      </w:tr>
      <w:tr>
        <w:tc>
          <w:tcPr>
            <w:tcW w:type="dxa" w:w="2280"/>
          </w:tcPr>
          <w:p>
            <w:pPr>
              <w:spacing w:before="20" w:after="20" w:line="240" w:lineRule="exact"/>
              <w:jc w:val="left"/>
            </w:pPr>
            <w:r>
              <w:rPr>
                <w:rFonts w:ascii="Times New Roman" w:hAnsi="Times New Roman"/>
                <w:b w:val="0"/>
                <w:sz w:val="18"/>
              </w:rPr>
              <w:t>PP Population</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 x.xx]</w:t>
            </w:r>
          </w:p>
        </w:tc>
        <w:tc>
          <w:tcPr>
            <w:tcW w:type="dxa" w:w="2280"/>
          </w:tcPr>
          <w:p>
            <w:pPr>
              <w:spacing w:before="20" w:after="20" w:line="240" w:lineRule="exact"/>
              <w:jc w:val="center"/>
            </w:pPr>
            <w:r>
              <w:rPr>
                <w:rFonts w:ascii="Times New Roman" w:hAnsi="Times New Roman"/>
                <w:b w:val="0"/>
                <w:sz w:val="18"/>
              </w:rPr>
              <w:t>x.xxx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Abbreviations: ITT = intent-to-treat; PP = per-protocol; PFS = progression-free survival; RECIST = Response Evaluation Criteria in Solid Tumors; ICR = independent central review; CI = confidence interval; HR = hazard ratio.</w:t>
      </w:r>
    </w:p>
    <w:p>
      <w:pPr>
        <w:spacing w:before="0" w:after="0"/>
      </w:pPr>
      <w:r>
        <w:rPr>
          <w:rFonts w:ascii="Times New Roman" w:hAnsi="Times New Roman"/>
          <w:i/>
          <w:sz w:val="16"/>
        </w:rPr>
        <w:t>[2] Statistical definitions: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[3] Dataset: ADSL, ADTTE. Program: t_pfs_sensitivity.sas.</w:t>
      </w:r>
    </w:p>
    <w:p>
      <w:pPr>
        <w:spacing w:before="0" w:after="0"/>
      </w:pPr>
      <w:r>
        <w:rPr>
          <w:rFonts w:ascii="Times New Roman" w:hAnsi="Times New Roman"/>
          <w:i/>
          <w:sz w:val="16"/>
        </w:rPr>
        <w:t>[4] Note: Source listing is study-specific to the endpoint.</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14.2.19  Summary of Target Lesion Changes from Baseline</w:t>
      </w:r>
      <w:r>
        <w:bookmarkStart w:id="0" w:name="T14.2.19"/>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with Measurable Disease and Post-Baseline Assessment</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Subjects with Baseline and &gt;=1 Post-BL Assessment</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120" w:after="20" w:line="240" w:lineRule="exact"/>
              <w:jc w:val="left"/>
            </w:pPr>
            <w:r>
              <w:rPr>
                <w:rFonts w:ascii="Times New Roman" w:hAnsi="Times New Roman"/>
                <w:b/>
                <w:sz w:val="18"/>
              </w:rPr>
              <w:t>Best % Change from Baseline in Target Lesion Sum</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0" w:after="20" w:line="240" w:lineRule="exact"/>
              <w:jc w:val="left"/>
            </w:pPr>
            <w:r>
              <w:rPr>
                <w:rFonts w:ascii="Times New Roman" w:hAnsi="Times New Roman"/>
                <w:b w:val="0"/>
                <w:sz w:val="18"/>
              </w:rPr>
              <w:t xml:space="preserve">      Median</w:t>
            </w:r>
          </w:p>
        </w:tc>
        <w:tc>
          <w:tcPr>
            <w:tcW w:type="dxa" w:w="2736"/>
          </w:tcPr>
          <w:p>
            <w:pPr>
              <w:spacing w:before="0" w:after="20" w:line="240" w:lineRule="exact"/>
              <w:jc w:val="center"/>
            </w:pPr>
            <w:r>
              <w:rPr>
                <w:rFonts w:ascii="Times New Roman" w:hAnsi="Times New Roman"/>
                <w:b w:val="0"/>
                <w:sz w:val="18"/>
              </w:rPr>
              <w:t>xx.x</w:t>
            </w:r>
          </w:p>
        </w:tc>
        <w:tc>
          <w:tcPr>
            <w:tcW w:type="dxa" w:w="2736"/>
          </w:tcPr>
          <w:p>
            <w:pPr>
              <w:spacing w:before="0" w:after="20" w:line="240" w:lineRule="exact"/>
              <w:jc w:val="center"/>
            </w:pPr>
            <w:r>
              <w:rPr>
                <w:rFonts w:ascii="Times New Roman" w:hAnsi="Times New Roman"/>
                <w:b w:val="0"/>
                <w:sz w:val="18"/>
              </w:rPr>
              <w:t>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w:t>
            </w:r>
          </w:p>
        </w:tc>
      </w:tr>
      <w:tr>
        <w:tc>
          <w:tcPr>
            <w:tcW w:type="dxa" w:w="2736"/>
          </w:tcPr>
          <w:p>
            <w:pPr>
              <w:spacing w:before="0" w:after="20" w:line="240" w:lineRule="exact"/>
              <w:jc w:val="left"/>
            </w:pPr>
            <w:r>
              <w:rPr>
                <w:rFonts w:ascii="Times New Roman" w:hAnsi="Times New Roman"/>
                <w:b w:val="0"/>
                <w:sz w:val="18"/>
              </w:rPr>
              <w:t xml:space="preserve">      Min, Max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Best % Change Category</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&gt;=20% Increase (PD)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-30% to +20% (SD)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&gt;= -30% Decrease (PR/CR)</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&gt;= -100% (CR)</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Target lesion sum per RECIST 1.1. Best % change = min(post-baseline sum) - baseline sum / baseline sum * 100.</w:t>
      </w:r>
    </w:p>
    <w:p>
      <w:pPr>
        <w:spacing w:before="0" w:after="0"/>
      </w:pPr>
      <w:r>
        <w:rPr>
          <w:rFonts w:ascii="Times New Roman" w:hAnsi="Times New Roman"/>
          <w:i/>
          <w:sz w:val="16"/>
        </w:rPr>
        <w:t>[3] Abbreviations: BL = baseline; ITT = intent-to-treat; CR = complete response; PR = partial response; RECIST = Response Evaluation Criteria in Solid Tumors; SD = standard deviation; SD (response) = stable disease; PD = progressive disease.</w:t>
      </w:r>
    </w:p>
    <w:p>
      <w:pPr>
        <w:spacing w:before="0" w:after="0"/>
      </w:pPr>
      <w:r>
        <w:rPr>
          <w:rFonts w:ascii="Times New Roman" w:hAnsi="Times New Roman"/>
          <w:i/>
          <w:sz w:val="16"/>
        </w:rPr>
        <w:t>[4] Statistical definitions: Descriptive statistics are calculated from non-missing observations unless the SAP states otherwise.</w:t>
      </w:r>
    </w:p>
    <w:p>
      <w:pPr>
        <w:spacing w:before="0" w:after="0"/>
      </w:pPr>
      <w:r>
        <w:rPr>
          <w:rFonts w:ascii="Times New Roman" w:hAnsi="Times New Roman"/>
          <w:i/>
          <w:sz w:val="16"/>
        </w:rPr>
        <w:t>[5] Dataset: ADSL, ADRS. Program: t_target_lesion.sas.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14.2.20  Landmark Analysis of OS by 6-Month PFS Status</w:t>
      </w:r>
      <w:r>
        <w:bookmarkStart w:id="0" w:name="T14.2.20"/>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Alive and On-Study at 6 Months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PFS Status at 6M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 n/N</w:t>
            </w:r>
          </w:p>
          <w:p>
            <w:pPr>
              <w:spacing w:before="0" w:after="0"/>
              <w:jc w:val="center"/>
            </w:pPr>
            <w:r>
              <w:rPr>
                <w:rFonts w:ascii="Times New Roman" w:hAnsi="Times New Roman"/>
                <w:b/>
                <w:sz w:val="18"/>
              </w:rPr>
              <w:t>Med OS</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 n/N</w:t>
            </w:r>
          </w:p>
          <w:p>
            <w:pPr>
              <w:spacing w:before="0" w:after="0"/>
              <w:jc w:val="center"/>
            </w:pPr>
            <w:r>
              <w:rPr>
                <w:rFonts w:ascii="Times New Roman" w:hAnsi="Times New Roman"/>
                <w:b/>
                <w:sz w:val="18"/>
              </w:rPr>
              <w:t>Med OS</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jc w:val="center"/>
            </w:pPr>
            <w:r>
              <w:rPr>
                <w:rFonts w:ascii="Times New Roman" w:hAnsi="Times New Roman"/>
                <w:b/>
                <w:sz w:val="18"/>
              </w:rPr>
              <w:t>HR [95% CI]</w:t>
            </w:r>
          </w:p>
        </w:tc>
      </w:tr>
      <w:tr>
        <w:tc>
          <w:tcPr>
            <w:tcW w:type="dxa" w:w="2736"/>
          </w:tcPr>
          <w:p>
            <w:pPr>
              <w:spacing w:before="20" w:after="20" w:line="240" w:lineRule="exact"/>
              <w:jc w:val="left"/>
            </w:pPr>
            <w:r>
              <w:rPr>
                <w:rFonts w:ascii="Times New Roman" w:hAnsi="Times New Roman"/>
                <w:b w:val="0"/>
                <w:sz w:val="18"/>
              </w:rPr>
              <w:t>Progression-Free at 6M</w:t>
            </w:r>
          </w:p>
        </w:tc>
        <w:tc>
          <w:tcPr>
            <w:tcW w:type="dxa" w:w="2736"/>
          </w:tcPr>
          <w:p>
            <w:pPr>
              <w:spacing w:before="20" w:after="20" w:line="240" w:lineRule="exact"/>
              <w:jc w:val="center"/>
            </w:pPr>
            <w:r>
              <w:rPr>
                <w:rFonts w:ascii="Times New Roman" w:hAnsi="Times New Roman"/>
                <w:b w:val="0"/>
                <w:sz w:val="18"/>
              </w:rPr>
              <w:t>xx/xx, NR</w:t>
            </w:r>
          </w:p>
        </w:tc>
        <w:tc>
          <w:tcPr>
            <w:tcW w:type="dxa" w:w="2736"/>
          </w:tcPr>
          <w:p>
            <w:pPr>
              <w:spacing w:before="20" w:after="20" w:line="240" w:lineRule="exact"/>
              <w:jc w:val="center"/>
            </w:pPr>
            <w:r>
              <w:rPr>
                <w:rFonts w:ascii="Times New Roman" w:hAnsi="Times New Roman"/>
                <w:b w:val="0"/>
                <w:sz w:val="18"/>
              </w:rPr>
              <w:t>xx/xx, NR</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 x.xx]</w:t>
            </w:r>
          </w:p>
        </w:tc>
      </w:tr>
      <w:tr>
        <w:tc>
          <w:tcPr>
            <w:tcW w:type="dxa" w:w="2736"/>
          </w:tcPr>
          <w:p>
            <w:pPr>
              <w:spacing w:before="20" w:after="20" w:line="240" w:lineRule="exact"/>
              <w:jc w:val="left"/>
            </w:pPr>
            <w:r>
              <w:rPr>
                <w:rFonts w:ascii="Times New Roman" w:hAnsi="Times New Roman"/>
                <w:b w:val="0"/>
                <w:sz w:val="18"/>
              </w:rPr>
              <w:t>Progressed by 6M</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 [x.xx,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L16.2.11</w:t>
      </w:r>
    </w:p>
    <w:p>
      <w:pPr>
        <w:spacing w:before="0" w:after="0"/>
      </w:pPr>
      <w:r>
        <w:rPr>
          <w:rFonts w:ascii="Times New Roman" w:hAnsi="Times New Roman"/>
          <w:i/>
          <w:sz w:val="16"/>
        </w:rPr>
        <w:t>[2] Abbreviations: ITT = intent-to-treat; PFS = progression-free survival; OS = overall survival; CI = confidence interval; HR = hazard ratio.</w:t>
      </w:r>
    </w:p>
    <w:p>
      <w:pPr>
        <w:spacing w:before="0" w:after="0"/>
      </w:pPr>
      <w:r>
        <w:rPr>
          <w:rFonts w:ascii="Times New Roman" w:hAnsi="Times New Roman"/>
          <w:i/>
          <w:sz w:val="16"/>
        </w:rPr>
        <w:t>[3] Statistical definitions: n/N denotes the number of subjects meeting the stated criterion over the number of evaluable subjects for that criterion and treatment group.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[4] Dataset: ADSL, ADTTE. Program: t_landmark_os.sas.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14.2.21  Time to First Subsequent Therapy (TFST)</w:t>
      </w:r>
      <w:r>
        <w:bookmarkStart w:id="0" w:name="T14.2.21"/>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Number of Subjects</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20" w:after="20" w:line="240" w:lineRule="exact"/>
              <w:jc w:val="left"/>
            </w:pPr>
            <w:r>
              <w:rPr>
                <w:rFonts w:ascii="Times New Roman" w:hAnsi="Times New Roman"/>
                <w:b w:val="0"/>
                <w:sz w:val="18"/>
              </w:rPr>
              <w:t>Subjects with Subsequent Therapy,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Censored,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Median TFST, months (95% CI)</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xx.x (xx.x, xx.x)</w:t>
            </w:r>
          </w:p>
        </w:tc>
      </w:tr>
      <w:tr>
        <w:tc>
          <w:tcPr>
            <w:tcW w:type="dxa" w:w="2736"/>
          </w:tcPr>
          <w:p>
            <w:pPr>
              <w:spacing w:before="120" w:after="20" w:line="240" w:lineRule="exact"/>
              <w:jc w:val="left"/>
            </w:pPr>
            <w:r>
              <w:rPr>
                <w:rFonts w:ascii="Times New Roman" w:hAnsi="Times New Roman"/>
                <w:b/>
                <w:sz w:val="18"/>
              </w:rPr>
              <w:t>Hazard Ratio (95% CI)</w:t>
            </w:r>
          </w:p>
        </w:tc>
        <w:tc>
          <w:tcPr>
            <w:tcW w:type="dxa" w:w="2736"/>
          </w:tcPr>
          <w:p>
            <w:pPr>
              <w:spacing w:before="120" w:after="20" w:line="240" w:lineRule="exact"/>
              <w:jc w:val="center"/>
            </w:pPr>
            <w:r>
              <w:rPr>
                <w:rFonts w:ascii="Times New Roman" w:hAnsi="Times New Roman"/>
                <w:b/>
                <w:sz w:val="18"/>
              </w:rPr>
              <w:t>x.xx [x.xx, x.xx]</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20" w:after="20" w:line="240" w:lineRule="exact"/>
              <w:jc w:val="left"/>
            </w:pPr>
            <w:r>
              <w:rPr>
                <w:rFonts w:ascii="Times New Roman" w:hAnsi="Times New Roman"/>
                <w:b w:val="0"/>
                <w:sz w:val="18"/>
              </w:rPr>
              <w:t>p-value (stratified log-rank)</w:t>
            </w:r>
          </w:p>
        </w:tc>
        <w:tc>
          <w:tcPr>
            <w:tcW w:type="dxa" w:w="2736"/>
          </w:tcPr>
          <w:p>
            <w:pPr>
              <w:spacing w:before="20" w:after="20" w:line="240" w:lineRule="exact"/>
              <w:jc w:val="center"/>
            </w:pPr>
            <w:r>
              <w:rPr>
                <w:rFonts w:ascii="Times New Roman" w:hAnsi="Times New Roman"/>
                <w:b w:val="0"/>
                <w:sz w:val="18"/>
              </w:rPr>
              <w:t>x.xxx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Subsequent Therapy Type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Chemotherapy</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Targeted Therapy</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Immunotherapy</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L16.2.19</w:t>
      </w:r>
    </w:p>
    <w:p>
      <w:pPr>
        <w:spacing w:before="0" w:after="0"/>
      </w:pPr>
      <w:r>
        <w:rPr>
          <w:rFonts w:ascii="Times New Roman" w:hAnsi="Times New Roman"/>
          <w:i/>
          <w:sz w:val="16"/>
        </w:rPr>
        <w:t>[2] TFST: time from randomization to first subsequent anti-cancer therapy or death.</w:t>
      </w:r>
    </w:p>
    <w:p>
      <w:pPr>
        <w:spacing w:before="0" w:after="0"/>
      </w:pPr>
      <w:r>
        <w:rPr>
          <w:rFonts w:ascii="Times New Roman" w:hAnsi="Times New Roman"/>
          <w:i/>
          <w:sz w:val="16"/>
        </w:rPr>
        <w:t>[3] KM estimates. Brookmeyer-Crowley CI for median.</w:t>
      </w:r>
    </w:p>
    <w:p>
      <w:pPr>
        <w:spacing w:before="0" w:after="0"/>
      </w:pPr>
      <w:r>
        <w:rPr>
          <w:rFonts w:ascii="Times New Roman" w:hAnsi="Times New Roman"/>
          <w:i/>
          <w:sz w:val="16"/>
        </w:rPr>
        <w:t>[4] Abbreviations: ITT = intent-to-treat; TFST = time to first subsequent therapy; KM = Kaplan-Meier; CI = confidence interval.</w:t>
      </w:r>
    </w:p>
    <w:p>
      <w:pPr>
        <w:spacing w:before="0" w:after="0"/>
      </w:pPr>
      <w:r>
        <w:rPr>
          <w:rFonts w:ascii="Times New Roman" w:hAnsi="Times New Roman"/>
          <w:i/>
          <w:sz w:val="16"/>
        </w:rPr>
        <w:t>[5]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[6] Dataset: ADSL, ADTTE, ADCM. Program: t_tfst.sas.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14.2.22  PK/PD Exposure-Response Correlation Analysis</w:t>
      </w:r>
      <w:r>
        <w:bookmarkStart w:id="0" w:name="T14.2.22"/>
        <w:bookmarkEnd w:id="0"/>
      </w:r>
    </w:p>
    <w:p>
      <w:pPr>
        <w:keepNext/>
        <w:spacing w:before="40" w:after="160"/>
      </w:pPr>
      <w:r>
        <w:rPr>
          <w:rFonts w:ascii="Times New Roman" w:hAnsi="Times New Roman"/>
          <w:i/>
          <w:sz w:val="18"/>
        </w:rPr>
        <w:t>Analysis Set: PK/PD Evaluable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3420"/>
        <w:gridCol w:w="3420"/>
        <w:gridCol w:w="3420"/>
        <w:gridCol w:w="3420"/>
      </w:tblGrid>
      <w:tr>
        <w:trPr>
          <w:tblHeader w:val="true"/>
        </w:trPr>
        <w:tc>
          <w:tcPr>
            <w:tcW w:type="dxa" w:w="3420"/>
            <w:shd w:fill="F2F2F2" w:val="clear"/>
            <w:tcBorders>
              <w:bottom w:val="single" w:sz="4" w:space="0" w:color="000000"/>
            </w:tcBorders>
          </w:tcPr>
          <w:p>
            <w:pPr>
              <w:spacing w:before="0" w:after="0"/>
              <w:jc w:val="left"/>
            </w:pPr>
            <w:r>
              <w:rPr>
                <w:rFonts w:ascii="Times New Roman" w:hAnsi="Times New Roman"/>
                <w:b/>
                <w:sz w:val="18"/>
              </w:rPr>
              <w:t>PK Parameter</w:t>
            </w:r>
          </w:p>
          <w:p>
            <w:pPr>
              <w:spacing w:before="0" w:after="0"/>
              <w:jc w:val="left"/>
            </w:pPr>
            <w:r>
              <w:rPr>
                <w:rFonts w:ascii="Times New Roman" w:hAnsi="Times New Roman"/>
                <w:b/>
                <w:sz w:val="18"/>
              </w:rPr>
              <w:t>Quartile</w:t>
            </w:r>
          </w:p>
        </w:tc>
        <w:tc>
          <w:tcPr>
            <w:tcW w:type="dxa" w:w="3420"/>
            <w:shd w:fill="F2F2F2" w:val="clear"/>
            <w:tcBorders>
              <w:bottom w:val="single" w:sz="4" w:space="0" w:color="000000"/>
            </w:tcBorders>
          </w:tcPr>
          <w:p>
            <w:pPr>
              <w:jc w:val="center"/>
            </w:pPr>
            <w:r>
              <w:rPr>
                <w:rFonts w:ascii="Times New Roman" w:hAnsi="Times New Roman"/>
                <w:b/>
                <w:sz w:val="18"/>
              </w:rPr>
              <w:t>N</w:t>
            </w:r>
          </w:p>
        </w:tc>
        <w:tc>
          <w:tcPr>
            <w:tcW w:type="dxa" w:w="3420"/>
            <w:shd w:fill="F2F2F2" w:val="clear"/>
            <w:tcBorders>
              <w:bottom w:val="single" w:sz="4" w:space="0" w:color="000000"/>
            </w:tcBorders>
          </w:tcPr>
          <w:p>
            <w:pPr>
              <w:jc w:val="center"/>
            </w:pPr>
            <w:r>
              <w:rPr>
                <w:rFonts w:ascii="Times New Roman" w:hAnsi="Times New Roman"/>
                <w:b/>
                <w:sz w:val="18"/>
              </w:rPr>
              <w:t>Response Rate (%)</w:t>
            </w:r>
          </w:p>
        </w:tc>
        <w:tc>
          <w:tcPr>
            <w:tcW w:type="dxa" w:w="3420"/>
            <w:shd w:fill="F2F2F2" w:val="clear"/>
            <w:tcBorders>
              <w:bottom w:val="single" w:sz="4" w:space="0" w:color="000000"/>
            </w:tcBorders>
          </w:tcPr>
          <w:p>
            <w:pPr>
              <w:jc w:val="center"/>
            </w:pPr>
            <w:r>
              <w:rPr>
                <w:rFonts w:ascii="Times New Roman" w:hAnsi="Times New Roman"/>
                <w:b/>
                <w:sz w:val="18"/>
              </w:rPr>
              <w:t>95% CI</w:t>
            </w:r>
          </w:p>
        </w:tc>
      </w:tr>
      <w:tr>
        <w:tc>
          <w:tcPr>
            <w:tcW w:type="dxa" w:w="3420"/>
          </w:tcPr>
          <w:p>
            <w:pPr>
              <w:spacing w:before="20" w:after="20" w:line="240" w:lineRule="exact"/>
              <w:jc w:val="left"/>
            </w:pPr>
            <w:r>
              <w:rPr>
                <w:rFonts w:ascii="Times New Roman" w:hAnsi="Times New Roman"/>
                <w:b w:val="0"/>
                <w:sz w:val="18"/>
              </w:rPr>
              <w:t>AUC0-tau — Q1 (lowest)</w:t>
            </w:r>
          </w:p>
        </w:tc>
        <w:tc>
          <w:tcPr>
            <w:tcW w:type="dxa" w:w="3420"/>
          </w:tcPr>
          <w:p>
            <w:pPr>
              <w:spacing w:before="20" w:after="20" w:line="240" w:lineRule="exact"/>
              <w:jc w:val="center"/>
            </w:pPr>
            <w:r>
              <w:rPr>
                <w:rFonts w:ascii="Times New Roman" w:hAnsi="Times New Roman"/>
                <w:b w:val="0"/>
                <w:sz w:val="18"/>
              </w:rPr>
              <w:t>xx</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[xx.x, xx.x]</w:t>
            </w:r>
          </w:p>
        </w:tc>
      </w:tr>
      <w:tr>
        <w:tc>
          <w:tcPr>
            <w:tcW w:type="dxa" w:w="3420"/>
          </w:tcPr>
          <w:p>
            <w:pPr>
              <w:spacing w:before="20" w:after="20" w:line="240" w:lineRule="exact"/>
              <w:jc w:val="left"/>
            </w:pPr>
            <w:r>
              <w:rPr>
                <w:rFonts w:ascii="Times New Roman" w:hAnsi="Times New Roman"/>
                <w:b w:val="0"/>
                <w:sz w:val="18"/>
              </w:rPr>
              <w:t>AUC0-tau — Q2</w:t>
            </w:r>
          </w:p>
        </w:tc>
        <w:tc>
          <w:tcPr>
            <w:tcW w:type="dxa" w:w="3420"/>
          </w:tcPr>
          <w:p>
            <w:pPr>
              <w:spacing w:before="20" w:after="20" w:line="240" w:lineRule="exact"/>
              <w:jc w:val="center"/>
            </w:pPr>
            <w:r>
              <w:rPr>
                <w:rFonts w:ascii="Times New Roman" w:hAnsi="Times New Roman"/>
                <w:b w:val="0"/>
                <w:sz w:val="18"/>
              </w:rPr>
              <w:t>xx</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[xx.x, xx.x]</w:t>
            </w:r>
          </w:p>
        </w:tc>
      </w:tr>
      <w:tr>
        <w:tc>
          <w:tcPr>
            <w:tcW w:type="dxa" w:w="3420"/>
          </w:tcPr>
          <w:p>
            <w:pPr>
              <w:spacing w:before="20" w:after="20" w:line="240" w:lineRule="exact"/>
              <w:jc w:val="left"/>
            </w:pPr>
            <w:r>
              <w:rPr>
                <w:rFonts w:ascii="Times New Roman" w:hAnsi="Times New Roman"/>
                <w:b w:val="0"/>
                <w:sz w:val="18"/>
              </w:rPr>
              <w:t>AUC0-tau — Q3</w:t>
            </w:r>
          </w:p>
        </w:tc>
        <w:tc>
          <w:tcPr>
            <w:tcW w:type="dxa" w:w="3420"/>
          </w:tcPr>
          <w:p>
            <w:pPr>
              <w:spacing w:before="20" w:after="20" w:line="240" w:lineRule="exact"/>
              <w:jc w:val="center"/>
            </w:pPr>
            <w:r>
              <w:rPr>
                <w:rFonts w:ascii="Times New Roman" w:hAnsi="Times New Roman"/>
                <w:b w:val="0"/>
                <w:sz w:val="18"/>
              </w:rPr>
              <w:t>xx</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[xx.x, xx.x]</w:t>
            </w:r>
          </w:p>
        </w:tc>
      </w:tr>
      <w:tr>
        <w:tc>
          <w:tcPr>
            <w:tcW w:type="dxa" w:w="3420"/>
          </w:tcPr>
          <w:p>
            <w:pPr>
              <w:spacing w:before="20" w:after="20" w:line="240" w:lineRule="exact"/>
              <w:jc w:val="left"/>
            </w:pPr>
            <w:r>
              <w:rPr>
                <w:rFonts w:ascii="Times New Roman" w:hAnsi="Times New Roman"/>
                <w:b w:val="0"/>
                <w:sz w:val="18"/>
              </w:rPr>
              <w:t>AUC0-tau — Q4 (highest)</w:t>
            </w:r>
          </w:p>
        </w:tc>
        <w:tc>
          <w:tcPr>
            <w:tcW w:type="dxa" w:w="3420"/>
          </w:tcPr>
          <w:p>
            <w:pPr>
              <w:spacing w:before="20" w:after="20" w:line="240" w:lineRule="exact"/>
              <w:jc w:val="center"/>
            </w:pPr>
            <w:r>
              <w:rPr>
                <w:rFonts w:ascii="Times New Roman" w:hAnsi="Times New Roman"/>
                <w:b w:val="0"/>
                <w:sz w:val="18"/>
              </w:rPr>
              <w:t>xx</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[xx.x, xx.x]</w:t>
            </w:r>
          </w:p>
        </w:tc>
      </w:tr>
      <w:tr>
        <w:tc>
          <w:tcPr>
            <w:tcW w:type="dxa" w:w="3420"/>
          </w:tcPr>
          <w:p>
            <w:pPr>
              <w:spacing w:before="20" w:after="20" w:line="240" w:lineRule="exact"/>
              <w:jc w:val="left"/>
            </w:pPr>
            <w:r>
              <w:rPr>
                <w:rFonts w:ascii="Times New Roman" w:hAnsi="Times New Roman"/>
                <w:b w:val="0"/>
                <w:sz w:val="18"/>
              </w:rPr>
              <w:t>[Additional rows omitted in master shell]</w:t>
            </w:r>
          </w:p>
        </w:tc>
        <w:tc>
          <w:tcPr>
            <w:tcW w:type="dxa" w:w="3420"/>
          </w:tcPr>
          <w:p>
            <w:pPr>
              <w:spacing w:before="20" w:after="20" w:line="240" w:lineRule="exact"/>
              <w:jc w:val="center"/>
            </w:pPr>
            <w:r>
              <w:rPr>
                <w:rFonts w:ascii="Times New Roman" w:hAnsi="Times New Roman"/>
                <w:b w:val="0"/>
                <w:sz w:val="18"/>
              </w:rPr>
            </w:r>
          </w:p>
        </w:tc>
        <w:tc>
          <w:tcPr>
            <w:tcW w:type="dxa" w:w="3420"/>
          </w:tcPr>
          <w:p>
            <w:pPr>
              <w:spacing w:before="20" w:after="20" w:line="240" w:lineRule="exact"/>
              <w:jc w:val="center"/>
            </w:pPr>
            <w:r>
              <w:rPr>
                <w:rFonts w:ascii="Times New Roman" w:hAnsi="Times New Roman"/>
                <w:b w:val="0"/>
                <w:sz w:val="18"/>
              </w:rPr>
            </w:r>
          </w:p>
        </w:tc>
        <w:tc>
          <w:tcPr>
            <w:tcW w:type="dxa" w:w="342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Abbreviations: CI = confidence interval; PK = pharmacokinetic; AUC = area under the concentration-time curve; PD = pharmacodynamic.</w:t>
      </w:r>
    </w:p>
    <w:p>
      <w:pPr>
        <w:spacing w:before="0" w:after="0"/>
      </w:pPr>
      <w:r>
        <w:rPr>
          <w:rFonts w:ascii="Times New Roman" w:hAnsi="Times New Roman"/>
          <w:i/>
          <w:sz w:val="16"/>
        </w:rPr>
        <w:t>[3] Dataset: ADSL, ADPK, ADEFF. Program: t_pkpd_corr.sas.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14.2.23  Responder Analysis of Primary Clinical Endpoint</w:t>
      </w:r>
      <w:r>
        <w:bookmarkStart w:id="0" w:name="T14.2.23"/>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Responder Analysis</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Difference /</w:t>
            </w:r>
          </w:p>
          <w:p>
            <w:pPr>
              <w:spacing w:before="0" w:after="0"/>
              <w:jc w:val="center"/>
            </w:pPr>
            <w:r>
              <w:rPr>
                <w:rFonts w:ascii="Times New Roman" w:hAnsi="Times New Roman"/>
                <w:b/>
                <w:sz w:val="18"/>
              </w:rPr>
              <w:t>Effect</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Responders,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Non-Responders,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Risk Difference (%)</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Odds Ratio</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p-value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L16.2.34</w:t>
      </w:r>
    </w:p>
    <w:p>
      <w:pPr>
        <w:spacing w:before="0" w:after="0"/>
      </w:pPr>
      <w:r>
        <w:rPr>
          <w:rFonts w:ascii="Times New Roman" w:hAnsi="Times New Roman"/>
          <w:i/>
          <w:sz w:val="16"/>
        </w:rPr>
        <w:t>[2] Responder definition per protocol and SAP. Stratified CMH / logistic model as applicable.</w:t>
      </w:r>
    </w:p>
    <w:p>
      <w:pPr>
        <w:spacing w:before="0" w:after="0"/>
      </w:pPr>
      <w:r>
        <w:rPr>
          <w:rFonts w:ascii="Times New Roman" w:hAnsi="Times New Roman"/>
          <w:i/>
          <w:sz w:val="16"/>
        </w:rPr>
        <w:t>[3] Abbreviations: ITT = intent-to-treat; CMH = Cochran-Mantel-Haenszel; CI = confidence interval.</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ADEFF. Program: t_responder_primary.sas.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14.2.24  Annualized Clinically Significant Event / Exacerbation Rate Analysis</w:t>
      </w:r>
      <w:r>
        <w:bookmarkStart w:id="0" w:name="T14.2.24"/>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Event Rate Analysis</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Rate Ratio</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Subjects with &gt;=1 Event,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Total Number of Events</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Exposure Time (Patient-Years)</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Annualized Event Rate</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Negative Binomial Model p-value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L16.2.34</w:t>
      </w:r>
    </w:p>
    <w:p>
      <w:pPr>
        <w:spacing w:before="0" w:after="0"/>
      </w:pPr>
      <w:r>
        <w:rPr>
          <w:rFonts w:ascii="Times New Roman" w:hAnsi="Times New Roman"/>
          <w:i/>
          <w:sz w:val="16"/>
        </w:rPr>
        <w:t>[2] Event/exacerbation definitions and over-dispersion model settings per SAP.</w:t>
      </w:r>
    </w:p>
    <w:p>
      <w:pPr>
        <w:spacing w:before="0" w:after="0"/>
      </w:pPr>
      <w:r>
        <w:rPr>
          <w:rFonts w:ascii="Times New Roman" w:hAnsi="Times New Roman"/>
          <w:i/>
          <w:sz w:val="16"/>
        </w:rPr>
        <w:t>[3] Abbreviations: ITT = intent-to-treat; CI = confidence interval.</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ADEFF, ADTTE. Program: t_event_rate.sas.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14.2.25  Time to First Clinically Significant Event</w:t>
      </w:r>
      <w:r>
        <w:bookmarkStart w:id="0" w:name="T14.2.25"/>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Time-to-Event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Hazard Ratio</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Subjects with Event,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Median Time to First Event (days)</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25th, 75th Percentile</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Stratified Cox Model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Stratified Log-Rank p-value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L16.2.34</w:t>
      </w:r>
    </w:p>
    <w:p>
      <w:pPr>
        <w:spacing w:before="0" w:after="0"/>
      </w:pPr>
      <w:r>
        <w:rPr>
          <w:rFonts w:ascii="Times New Roman" w:hAnsi="Times New Roman"/>
          <w:i/>
          <w:sz w:val="16"/>
        </w:rPr>
        <w:t>[2] Clinically significant event defined per adjudication or protocol rules. KM estimates and Cox model per SAP.</w:t>
      </w:r>
    </w:p>
    <w:p>
      <w:pPr>
        <w:spacing w:before="0" w:after="0"/>
      </w:pPr>
      <w:r>
        <w:rPr>
          <w:rFonts w:ascii="Times New Roman" w:hAnsi="Times New Roman"/>
          <w:i/>
          <w:sz w:val="16"/>
        </w:rPr>
        <w:t>[3] Abbreviations: ITT = intent-to-treat; KM = Kaplan-Meier; CI = confidence interval.</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[5] Dataset: ADSL, ADTTE. Program: t_time_to_event_nononc.sas.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14.2.26  Annualized Moderate or Severe Respiratory Exacerbation Rate</w:t>
      </w:r>
      <w:r>
        <w:bookmarkStart w:id="0" w:name="T14.2.26"/>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Respiratory Exacerbation Analysis</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Rate Ratio</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Subjects with &gt;=1 Moderate or Severe Exacerbation,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Total Moderate or Severe Exacerbations</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Exposure Time (Patient-Years)</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Annualized Exacerbation Rate</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Negative Binomial Model p-value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L16.2.35</w:t>
      </w:r>
    </w:p>
    <w:p>
      <w:pPr>
        <w:spacing w:before="0" w:after="0"/>
      </w:pPr>
      <w:r>
        <w:rPr>
          <w:rFonts w:ascii="Times New Roman" w:hAnsi="Times New Roman"/>
          <w:i/>
          <w:sz w:val="16"/>
        </w:rPr>
        <w:t>[2] Moderate and severe exacerbations defined per protocol, including systemic corticosteroid, antibiotic, emergency visit, or hospitalization criteria as applicable.</w:t>
      </w:r>
    </w:p>
    <w:p>
      <w:pPr>
        <w:spacing w:before="0" w:after="0"/>
      </w:pPr>
      <w:r>
        <w:rPr>
          <w:rFonts w:ascii="Times New Roman" w:hAnsi="Times New Roman"/>
          <w:i/>
          <w:sz w:val="16"/>
        </w:rPr>
        <w:t>[3] Abbreviations: ITT = intent-to-treat; CI = confidence interval.</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ADEFF, ADTTE. Program: t_resp_exac_rate.sas.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14.2.27  Time to First Moderate or Severe Respiratory Exacerbation</w:t>
      </w:r>
      <w:r>
        <w:bookmarkStart w:id="0" w:name="T14.2.27"/>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Time-to-First Exacerbation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Hazard Ratio</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Subjects with Event,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Median Time to First Exacerbation (days)</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Event-Free Rate at Week 24, %</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Stratified Cox Model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Stratified Log-Rank p-value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L16.2.35</w:t>
      </w:r>
    </w:p>
    <w:p>
      <w:pPr>
        <w:spacing w:before="0" w:after="0"/>
      </w:pPr>
      <w:r>
        <w:rPr>
          <w:rFonts w:ascii="Times New Roman" w:hAnsi="Times New Roman"/>
          <w:i/>
          <w:sz w:val="16"/>
        </w:rPr>
        <w:t>[2] Event timing is based on protocol-defined onset date of the first moderate or severe respiratory exacerbation.</w:t>
      </w:r>
    </w:p>
    <w:p>
      <w:pPr>
        <w:spacing w:before="0" w:after="0"/>
      </w:pPr>
      <w:r>
        <w:rPr>
          <w:rFonts w:ascii="Times New Roman" w:hAnsi="Times New Roman"/>
          <w:i/>
          <w:sz w:val="16"/>
        </w:rPr>
        <w:t>[3] Abbreviations: ITT = intent-to-treat; CI = confidence interval.</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[5] Dataset: ADSL, ADTTE. Program: t_resp_exac_tte.sas.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14.2.28  Adjudicated Major Adverse Cardiovascular Events (MACE) Summary</w:t>
      </w:r>
      <w:r>
        <w:bookmarkStart w:id="0" w:name="T14.2.28"/>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Cardiovascular Event Summary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Hazard Ratio /</w:t>
            </w:r>
          </w:p>
          <w:p>
            <w:pPr>
              <w:spacing w:before="0" w:after="0"/>
              <w:jc w:val="center"/>
            </w:pPr>
            <w:r>
              <w:rPr>
                <w:rFonts w:ascii="Times New Roman" w:hAnsi="Times New Roman"/>
                <w:b/>
                <w:sz w:val="18"/>
              </w:rPr>
              <w:t>Risk Difference</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Subjects with &gt;=1 Adjudicated MACE,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Cardiovascular Death,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Non-fatal Myocardial Infarction,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Non-fatal Stroke,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Urgent Coronary Revascularization,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L16.2.36</w:t>
      </w:r>
    </w:p>
    <w:p>
      <w:pPr>
        <w:spacing w:before="0" w:after="0"/>
      </w:pPr>
      <w:r>
        <w:rPr>
          <w:rFonts w:ascii="Times New Roman" w:hAnsi="Times New Roman"/>
          <w:i/>
          <w:sz w:val="16"/>
        </w:rPr>
        <w:t>[2] MACE components are adjudicated per charter. Composite definition and censoring rules per SAP.</w:t>
      </w:r>
    </w:p>
    <w:p>
      <w:pPr>
        <w:spacing w:before="0" w:after="0"/>
      </w:pPr>
      <w:r>
        <w:rPr>
          <w:rFonts w:ascii="Times New Roman" w:hAnsi="Times New Roman"/>
          <w:i/>
          <w:sz w:val="16"/>
        </w:rPr>
        <w:t>[3] Abbreviations: ITT = intent-to-treat; CI = confidence interval; MACE = major adverse cardiovascular event.</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ADEFF, ADTTE. Program: t_mace_summary.sas.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14.2.29  Time to First MACE or Heart Failure Hospitalization</w:t>
      </w:r>
      <w:r>
        <w:bookmarkStart w:id="0" w:name="T14.2.29"/>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Time-to-Cardiovascular Event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Hazard Ratio</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Subjects with Event,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Median Time to First Event (days)</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Event-Free Rate at Month 12, %</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Stratified Cox Model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Stratified Log-Rank p-value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L16.2.36</w:t>
      </w:r>
    </w:p>
    <w:p>
      <w:pPr>
        <w:spacing w:before="0" w:after="0"/>
      </w:pPr>
      <w:r>
        <w:rPr>
          <w:rFonts w:ascii="Times New Roman" w:hAnsi="Times New Roman"/>
          <w:i/>
          <w:sz w:val="16"/>
        </w:rPr>
        <w:t>[2] Event includes first adjudicated MACE component or first hospitalization for worsening heart failure, whichever occurs first.</w:t>
      </w:r>
    </w:p>
    <w:p>
      <w:pPr>
        <w:spacing w:before="0" w:after="0"/>
      </w:pPr>
      <w:r>
        <w:rPr>
          <w:rFonts w:ascii="Times New Roman" w:hAnsi="Times New Roman"/>
          <w:i/>
          <w:sz w:val="16"/>
        </w:rPr>
        <w:t>[3] Abbreviations: ITT = intent-to-treat; CI = confidence interval; MACE = major adverse cardiovascular event.</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[5] Dataset: ADSL, ADTTE. Program: t_mace_hf_tte.sas.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14.2.30  Autoimmune Disease Flare and Clinical Responder Analysis</w:t>
      </w:r>
      <w:r>
        <w:bookmarkStart w:id="0" w:name="T14.2.30"/>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Autoimmune Disease Activity Analysis</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Difference /</w:t>
            </w:r>
          </w:p>
          <w:p>
            <w:pPr>
              <w:spacing w:before="0" w:after="0"/>
              <w:jc w:val="center"/>
            </w:pPr>
            <w:r>
              <w:rPr>
                <w:rFonts w:ascii="Times New Roman" w:hAnsi="Times New Roman"/>
                <w:b/>
                <w:sz w:val="18"/>
              </w:rPr>
              <w:t>Effect</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Clinical Responders at Week 24,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Subjects with &gt;=1 Disease Flare,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Mean Change in Disease Activity Score</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Odds Ratio for Response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p-value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L16.2.37</w:t>
      </w:r>
    </w:p>
    <w:p>
      <w:pPr>
        <w:spacing w:before="0" w:after="0"/>
      </w:pPr>
      <w:r>
        <w:rPr>
          <w:rFonts w:ascii="Times New Roman" w:hAnsi="Times New Roman"/>
          <w:i/>
          <w:sz w:val="16"/>
        </w:rPr>
        <w:t>[2] Responder and flare definitions are protocol-specific and may be based on composite disease activity criteria, rescue medication, or physician global assessment.</w:t>
      </w:r>
    </w:p>
    <w:p>
      <w:pPr>
        <w:spacing w:before="0" w:after="0"/>
      </w:pPr>
      <w:r>
        <w:rPr>
          <w:rFonts w:ascii="Times New Roman" w:hAnsi="Times New Roman"/>
          <w:i/>
          <w:sz w:val="16"/>
        </w:rPr>
        <w:t>[3] Abbreviations: ITT = intent-to-treat; CI = confidence interval.</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ADEFF. Program: t_autoimmune_resp_flare.sas.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14.2.31  Time to First Autoimmune Flare or Rescue Therapy</w:t>
      </w:r>
      <w:r>
        <w:bookmarkStart w:id="0" w:name="T14.2.31"/>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Time-to-Flare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Hazard Ratio</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Subjects with Event,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Median Time to First Flare / Rescue Therapy (days)</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Flare-Free Rate at Week 52, %</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Stratified Cox Model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Stratified Log-Rank p-value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t>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L16.2.37</w:t>
      </w:r>
    </w:p>
    <w:p>
      <w:pPr>
        <w:spacing w:before="0" w:after="0"/>
      </w:pPr>
      <w:r>
        <w:rPr>
          <w:rFonts w:ascii="Times New Roman" w:hAnsi="Times New Roman"/>
          <w:i/>
          <w:sz w:val="16"/>
        </w:rPr>
        <w:t>[2] Event is the earliest protocol-defined flare or initiation/escalation of rescue therapy.</w:t>
      </w:r>
    </w:p>
    <w:p>
      <w:pPr>
        <w:spacing w:before="0" w:after="0"/>
      </w:pPr>
      <w:r>
        <w:rPr>
          <w:rFonts w:ascii="Times New Roman" w:hAnsi="Times New Roman"/>
          <w:i/>
          <w:sz w:val="16"/>
        </w:rPr>
        <w:t>[3] Abbreviations: ITT = intent-to-treat; CI = confidence interval.</w:t>
      </w:r>
    </w:p>
    <w:p>
      <w:pPr>
        <w:spacing w:before="0" w:after="0"/>
      </w:pPr>
      <w:r>
        <w:rPr>
          <w:rFonts w:ascii="Times New Roman" w:hAnsi="Times New Roman"/>
          <w:i/>
          <w:sz w:val="16"/>
        </w:rPr>
        <w:t>[4] Statistical definitions: Percentages use the stated analysis population within each treatment group unless otherwise specified. Model-based estimates, contrasts, confidence intervals, and p-values follow the model, covariate, missing-data, and multiplicity specifications in the SAP. Time origin, event definitions, and censoring rules follow the endpoint specifications in the SAP.</w:t>
      </w:r>
    </w:p>
    <w:p>
      <w:pPr>
        <w:spacing w:before="0" w:after="0"/>
      </w:pPr>
      <w:r>
        <w:rPr>
          <w:rFonts w:ascii="Times New Roman" w:hAnsi="Times New Roman"/>
          <w:i/>
          <w:sz w:val="16"/>
        </w:rPr>
        <w:t>[5] Dataset: ADSL, ADTTE, ADCM. Program: t_autoimmune_ttf.sas.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14.2.32  Change from Baseline in Glycemic and Metabolic Parameters</w:t>
      </w:r>
      <w:r>
        <w:bookmarkStart w:id="0" w:name="T14.2.32"/>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Full Analysis Set (FAS)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vMerge w:val="restart"/>
            <w:shd w:fill="F2F2F2" w:val="clear"/>
            <w:tcBorders>
              <w:bottom w:val="single" w:sz="4" w:space="0" w:color="000000"/>
            </w:tcBorders>
          </w:tcPr>
          <w:p>
            <w:pPr>
              <w:spacing w:before="0" w:after="0"/>
              <w:jc w:val="left"/>
            </w:pPr>
            <w:r>
              <w:rPr>
                <w:rFonts w:ascii="Times New Roman" w:hAnsi="Times New Roman"/>
                <w:b/>
                <w:sz w:val="18"/>
              </w:rPr>
              <w:t>Parameter /</w:t>
            </w:r>
          </w:p>
          <w:p>
            <w:pPr>
              <w:spacing w:before="0" w:after="0"/>
              <w:jc w:val="left"/>
            </w:pPr>
            <w:r>
              <w:rPr>
                <w:rFonts w:ascii="Times New Roman" w:hAnsi="Times New Roman"/>
                <w:b/>
                <w:sz w:val="18"/>
              </w:rPr>
              <w:t>Visit / Statistic</w:t>
            </w:r>
          </w:p>
        </w:tc>
        <w:tc>
          <w:tcPr>
            <w:tcW w:type="dxa" w:w="5472"/>
            <w:gridSpan w:val="2"/>
            <w:shd w:fill="F2F2F2" w:val="clear"/>
            <w:tcBorders>
              <w:bottom w:val="single" w:sz="4" w:space="0" w:color="000000"/>
            </w:tcBorders>
          </w:tcPr>
          <w:p>
            <w:pPr>
              <w:jc w:val="center"/>
            </w:pPr>
            <w:r>
              <w:rPr>
                <w:rFonts w:ascii="Times New Roman" w:hAnsi="Times New Roman"/>
                <w:b/>
                <w:sz w:val="18"/>
              </w:rPr>
              <w:t>Treatment Estimates</w:t>
            </w:r>
          </w:p>
        </w:tc>
        <w:tc>
          <w:tcPr>
            <w:tcW w:type="dxa" w:w="5472"/>
            <w:gridSpan w:val="2"/>
            <w:shd w:fill="F2F2F2" w:val="clear"/>
            <w:tcBorders>
              <w:bottom w:val="single" w:sz="4" w:space="0" w:color="000000"/>
            </w:tcBorders>
          </w:tcPr>
          <w:p>
            <w:pPr>
              <w:jc w:val="center"/>
            </w:pPr>
            <w:r>
              <w:rPr>
                <w:rFonts w:ascii="Times New Roman" w:hAnsi="Times New Roman"/>
                <w:b/>
                <w:sz w:val="18"/>
              </w:rPr>
              <w:t>Treatment Comparison</w:t>
            </w:r>
          </w:p>
        </w:tc>
      </w:tr>
      <w:tr>
        <w:trPr>
          <w:tblHeader w:val="true"/>
        </w:trPr>
        <w:tc>
          <w:tcPr>
            <w:tcW w:type="dxa" w:w="2736"/>
            <w:vMerge/>
          </w:tcP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 vs Group 2</w:t>
            </w:r>
          </w:p>
          <w:p>
            <w:pPr>
              <w:spacing w:before="0" w:after="0"/>
              <w:jc w:val="center"/>
            </w:pPr>
            <w:r>
              <w:rPr>
                <w:rFonts w:ascii="Times New Roman" w:hAnsi="Times New Roman"/>
                <w:b/>
                <w:sz w:val="18"/>
              </w:rPr>
              <w:t>Estimate</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HbA1c (%)</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Baseline, Mean (SD)</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Change at Protocol-Defined Visit, LS Mean (SE)</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 p=x.xxx</w:t>
            </w:r>
          </w:p>
        </w:tc>
      </w:tr>
      <w:tr>
        <w:tc>
          <w:tcPr>
            <w:tcW w:type="dxa" w:w="2736"/>
          </w:tcPr>
          <w:p>
            <w:pPr>
              <w:spacing w:before="20" w:after="20" w:line="240" w:lineRule="exact"/>
              <w:jc w:val="left"/>
            </w:pPr>
            <w:r>
              <w:rPr>
                <w:rFonts w:ascii="Times New Roman" w:hAnsi="Times New Roman"/>
                <w:b w:val="0"/>
                <w:sz w:val="18"/>
              </w:rPr>
              <w:t>Fasting Plasma Glucose (mg/dL)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Baseline, Mean (SD)</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Change at Protocol-Defined Visit, LS Mean (SE)</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 p=x.xxx</w:t>
            </w:r>
          </w:p>
        </w:tc>
      </w:tr>
      <w:tr>
        <w:tc>
          <w:tcPr>
            <w:tcW w:type="dxa" w:w="2736"/>
          </w:tcPr>
          <w:p>
            <w:pPr>
              <w:spacing w:before="20" w:after="20" w:line="240" w:lineRule="exact"/>
              <w:jc w:val="left"/>
            </w:pPr>
            <w:r>
              <w:rPr>
                <w:rFonts w:ascii="Times New Roman" w:hAnsi="Times New Roman"/>
                <w:b w:val="0"/>
                <w:sz w:val="18"/>
              </w:rPr>
              <w:t>Body Weight (kg)</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Baseline, Mean (SD)</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Change at Protocol-Defined Visit, LS Mean (SE)</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w:t>
            </w:r>
          </w:p>
        </w:tc>
        <w:tc>
          <w:tcPr>
            <w:tcW w:type="dxa" w:w="2736"/>
          </w:tcPr>
          <w:p>
            <w:pPr>
              <w:spacing w:before="20" w:after="20" w:line="240" w:lineRule="exact"/>
              <w:jc w:val="center"/>
            </w:pPr>
            <w:r>
              <w:rPr>
                <w:rFonts w:ascii="Times New Roman" w:hAnsi="Times New Roman"/>
                <w:b w:val="0"/>
                <w:sz w:val="18"/>
              </w:rPr>
              <w:t>[xx.x, xx.x]; p=x.xxx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L16.2.38</w:t>
      </w:r>
    </w:p>
    <w:p>
      <w:pPr>
        <w:spacing w:before="0" w:after="0"/>
      </w:pPr>
      <w:r>
        <w:rPr>
          <w:rFonts w:ascii="Times New Roman" w:hAnsi="Times New Roman"/>
          <w:i/>
          <w:sz w:val="16"/>
        </w:rPr>
        <w:t>[2] Abbreviations: FAS = full analysis set; LS = least squares; SE = standard error; CI = confidence interval; HbA1c = glycated hemoglobin; SD = standard deviation.</w:t>
      </w:r>
    </w:p>
    <w:p>
      <w:pPr>
        <w:spacing w:before="0" w:after="0"/>
      </w:pPr>
      <w:r>
        <w:rPr>
          <w:rFonts w:ascii="Times New Roman" w:hAnsi="Times New Roman"/>
          <w:i/>
          <w:sz w:val="16"/>
        </w:rPr>
        <w:t>[3] Statistical definitions: Model-based estimates, contrasts, confidence intervals, and p-values follow the model, covariate, missing-data, and multiplicity specifications in the SAP. Descriptive statistics are calculated from non-missing observations unless the SAP states otherwise.</w:t>
      </w:r>
    </w:p>
    <w:p>
      <w:pPr>
        <w:spacing w:before="0" w:after="0"/>
      </w:pPr>
      <w:r>
        <w:rPr>
          <w:rFonts w:ascii="Times New Roman" w:hAnsi="Times New Roman"/>
          <w:i/>
          <w:sz w:val="16"/>
        </w:rPr>
        <w:t>[4] Dataset: ADLB, ADSL. Program: t_metabolic_chg.sas.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14.2.33  Responder Analysis for Clinically Meaningful Glycemic and Weight Targets</w:t>
      </w:r>
      <w:r>
        <w:bookmarkStart w:id="0" w:name="T14.2.33"/>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Full Analysis Set (FAS)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vMerge w:val="restart"/>
            <w:shd w:fill="F2F2F2" w:val="clear"/>
            <w:tcBorders>
              <w:bottom w:val="single" w:sz="4" w:space="0" w:color="000000"/>
            </w:tcBorders>
          </w:tcPr>
          <w:p>
            <w:pPr>
              <w:spacing w:before="0" w:after="0"/>
              <w:jc w:val="left"/>
            </w:pPr>
            <w:r>
              <w:rPr>
                <w:rFonts w:ascii="Times New Roman" w:hAnsi="Times New Roman"/>
                <w:b/>
                <w:sz w:val="18"/>
              </w:rPr>
              <w:t>Parameter /</w:t>
            </w:r>
          </w:p>
          <w:p>
            <w:pPr>
              <w:spacing w:before="0" w:after="0"/>
              <w:jc w:val="left"/>
            </w:pPr>
            <w:r>
              <w:rPr>
                <w:rFonts w:ascii="Times New Roman" w:hAnsi="Times New Roman"/>
                <w:b/>
                <w:sz w:val="18"/>
              </w:rPr>
              <w:t>Visit / Statistic</w:t>
            </w:r>
          </w:p>
        </w:tc>
        <w:tc>
          <w:tcPr>
            <w:tcW w:type="dxa" w:w="5472"/>
            <w:gridSpan w:val="2"/>
            <w:shd w:fill="F2F2F2" w:val="clear"/>
            <w:tcBorders>
              <w:bottom w:val="single" w:sz="4" w:space="0" w:color="000000"/>
            </w:tcBorders>
          </w:tcPr>
          <w:p>
            <w:pPr>
              <w:jc w:val="center"/>
            </w:pPr>
            <w:r>
              <w:rPr>
                <w:rFonts w:ascii="Times New Roman" w:hAnsi="Times New Roman"/>
                <w:b/>
                <w:sz w:val="18"/>
              </w:rPr>
              <w:t>Treatment Estimates</w:t>
            </w:r>
          </w:p>
        </w:tc>
        <w:tc>
          <w:tcPr>
            <w:tcW w:type="dxa" w:w="5472"/>
            <w:gridSpan w:val="2"/>
            <w:shd w:fill="F2F2F2" w:val="clear"/>
            <w:tcBorders>
              <w:bottom w:val="single" w:sz="4" w:space="0" w:color="000000"/>
            </w:tcBorders>
          </w:tcPr>
          <w:p>
            <w:pPr>
              <w:jc w:val="center"/>
            </w:pPr>
            <w:r>
              <w:rPr>
                <w:rFonts w:ascii="Times New Roman" w:hAnsi="Times New Roman"/>
                <w:b/>
                <w:sz w:val="18"/>
              </w:rPr>
              <w:t>Treatment Comparison</w:t>
            </w:r>
          </w:p>
        </w:tc>
      </w:tr>
      <w:tr>
        <w:trPr>
          <w:tblHeader w:val="true"/>
        </w:trPr>
        <w:tc>
          <w:tcPr>
            <w:tcW w:type="dxa" w:w="2736"/>
            <w:vMerge/>
          </w:tcP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 vs Group 2</w:t>
            </w:r>
          </w:p>
          <w:p>
            <w:pPr>
              <w:spacing w:before="0" w:after="0"/>
              <w:jc w:val="center"/>
            </w:pPr>
            <w:r>
              <w:rPr>
                <w:rFonts w:ascii="Times New Roman" w:hAnsi="Times New Roman"/>
                <w:b/>
                <w:sz w:val="18"/>
              </w:rPr>
              <w:t>Estimate</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20" w:after="20" w:line="240" w:lineRule="exact"/>
              <w:jc w:val="left"/>
            </w:pPr>
            <w:r>
              <w:rPr>
                <w:rFonts w:ascii="Times New Roman" w:hAnsi="Times New Roman"/>
                <w:b w:val="0"/>
                <w:sz w:val="18"/>
              </w:rPr>
              <w:t>Protocol-Defined Composite Response</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Responders,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 p=x.xxx</w:t>
            </w:r>
          </w:p>
        </w:tc>
      </w:tr>
      <w:tr>
        <w:tc>
          <w:tcPr>
            <w:tcW w:type="dxa" w:w="2736"/>
          </w:tcPr>
          <w:p>
            <w:pPr>
              <w:spacing w:before="20" w:after="20" w:line="240" w:lineRule="exact"/>
              <w:jc w:val="left"/>
            </w:pPr>
            <w:r>
              <w:rPr>
                <w:rFonts w:ascii="Times New Roman" w:hAnsi="Times New Roman"/>
                <w:b w:val="0"/>
                <w:sz w:val="18"/>
              </w:rPr>
              <w:t>Protocol-Defined Glycemic Target</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Responders,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 p=x.xxx</w:t>
            </w:r>
          </w:p>
        </w:tc>
      </w:tr>
      <w:tr>
        <w:tc>
          <w:tcPr>
            <w:tcW w:type="dxa" w:w="2736"/>
          </w:tcPr>
          <w:p>
            <w:pPr>
              <w:spacing w:before="20" w:after="20" w:line="240" w:lineRule="exact"/>
              <w:jc w:val="left"/>
            </w:pPr>
            <w:r>
              <w:rPr>
                <w:rFonts w:ascii="Times New Roman" w:hAnsi="Times New Roman"/>
                <w:b w:val="0"/>
                <w:sz w:val="18"/>
              </w:rPr>
              <w:t>Protocol-Defined Body Weight Target</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r>
        <w:tc>
          <w:tcPr>
            <w:tcW w:type="dxa" w:w="2736"/>
          </w:tcPr>
          <w:p>
            <w:pPr>
              <w:spacing w:before="20" w:after="20" w:line="240" w:lineRule="exact"/>
              <w:jc w:val="left"/>
            </w:pPr>
            <w:r>
              <w:rPr>
                <w:rFonts w:ascii="Times New Roman" w:hAnsi="Times New Roman"/>
                <w:b w:val="0"/>
                <w:sz w:val="18"/>
              </w:rPr>
              <w:t xml:space="preserve">  Responders,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 p=x.xxx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L16.2.38</w:t>
      </w:r>
    </w:p>
    <w:p>
      <w:pPr>
        <w:spacing w:before="0" w:after="0"/>
      </w:pPr>
      <w:r>
        <w:rPr>
          <w:rFonts w:ascii="Times New Roman" w:hAnsi="Times New Roman"/>
          <w:i/>
          <w:sz w:val="16"/>
        </w:rPr>
        <w:t>[2] Abbreviations: FAS = full analysis set; CI = confidence interval.</w:t>
      </w:r>
    </w:p>
    <w:p>
      <w:pPr>
        <w:spacing w:before="0" w:after="0"/>
      </w:pPr>
      <w:r>
        <w:rPr>
          <w:rFonts w:ascii="Times New Roman" w:hAnsi="Times New Roman"/>
          <w:i/>
          <w:sz w:val="16"/>
        </w:rPr>
        <w:t>[3] Statistical definitions: Percentages use the stated analysis population within each treatment group unless otherwise specified. Model-based estimates, contrasts, confidence intervals, and p-values follow the model, covariate, missing-data, and multiplicity specifications in the SAP.</w:t>
      </w:r>
    </w:p>
    <w:p>
      <w:pPr>
        <w:spacing w:before="0" w:after="0"/>
      </w:pPr>
      <w:r>
        <w:rPr>
          <w:rFonts w:ascii="Times New Roman" w:hAnsi="Times New Roman"/>
          <w:i/>
          <w:sz w:val="16"/>
        </w:rPr>
        <w:t>[4] Dataset: ADLB, ADSL. Program: t_metabolic_resp.sas.</w:t>
      </w:r>
      <w:r>
        <w:br w:type="page"/>
      </w:r>
    </w:p>
    <w:p>
      <w:pPr>
        <w:pStyle w:val="Heading3"/>
        <w:spacing w:before="120" w:after="80"/>
      </w:pPr>
      <w:r>
        <w:rPr>
          <w:rFonts w:ascii="Times New Roman" w:hAnsi="Times New Roman"/>
          <w:b/>
          <w:color w:val="003366"/>
          <w:sz w:val="22"/>
        </w:rPr>
        <w:t>Figures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14.2.1  Forest Plot — Primary Endpoint by Subgroup</w:t>
      </w:r>
      <w:r>
        <w:bookmarkStart w:id="0" w:name="F14.2.1"/>
        <w:bookmarkEnd w:id="0"/>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241237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412370"/>
                    </a:xfrm>
                    <a:prstGeom prst="rect"/>
                  </pic:spPr>
                </pic:pic>
              </a:graphicData>
            </a:graphic>
          </wp:inline>
        </w:drawing>
      </w:r>
    </w:p>
    <w:p>
      <w:pPr>
        <w:keepNext/>
        <w:spacing w:before="0" w:after="40"/>
        <w:jc w:val="center"/>
      </w:pPr>
      <w:r>
        <w:rPr>
          <w:rFonts w:ascii="Times New Roman" w:hAnsi="Times New Roman"/>
          <w:i/>
          <w:color w:val="646464"/>
          <w:sz w:val="16"/>
        </w:rPr>
        <w:t>[Figure 14.2.1: Forest plot: treatment effect [95% CI] per subgroup, overall diamond, ref line at null.]</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L16.2.11</w:t>
      </w:r>
    </w:p>
    <w:p>
      <w:pPr>
        <w:spacing w:before="0" w:after="0"/>
      </w:pPr>
      <w:r>
        <w:rPr>
          <w:rFonts w:ascii="Times New Roman" w:hAnsi="Times New Roman"/>
          <w:i/>
          <w:sz w:val="16"/>
        </w:rPr>
        <w:t>[2] Dataset: ADSL, ADEFF. Program: f_forest_primary.sas.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14.2.2  Longitudinal Plot — Primary Endpoint Over Time</w:t>
      </w:r>
      <w:r>
        <w:bookmarkStart w:id="0" w:name="F14.2.2"/>
        <w:bookmarkEnd w:id="0"/>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029200" cy="2854411"/>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2854411"/>
                    </a:xfrm>
                    <a:prstGeom prst="rect"/>
                  </pic:spPr>
                </pic:pic>
              </a:graphicData>
            </a:graphic>
          </wp:inline>
        </w:drawing>
      </w:r>
    </w:p>
    <w:p>
      <w:pPr>
        <w:keepNext/>
        <w:spacing w:before="0" w:after="40"/>
        <w:jc w:val="center"/>
      </w:pPr>
      <w:r>
        <w:rPr>
          <w:rFonts w:ascii="Times New Roman" w:hAnsi="Times New Roman"/>
          <w:i/>
          <w:color w:val="646464"/>
          <w:sz w:val="16"/>
        </w:rPr>
        <w:t>[Figure 14.2.2: Line plot: Mean (±SE) primary endpoint by visit, two arms.]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ADEFF. Program: f_longitudinal_eff.sas.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14.2.3  Cumulative Distribution Function Plot of Primary Endpoint</w:t>
      </w:r>
      <w:r>
        <w:bookmarkStart w:id="0" w:name="F14.2.3"/>
        <w:bookmarkEnd w:id="0"/>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029200" cy="285718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2857182"/>
                    </a:xfrm>
                    <a:prstGeom prst="rect"/>
                  </pic:spPr>
                </pic:pic>
              </a:graphicData>
            </a:graphic>
          </wp:inline>
        </w:drawing>
      </w:r>
    </w:p>
    <w:p>
      <w:pPr>
        <w:keepNext/>
        <w:spacing w:before="0" w:after="40"/>
        <w:jc w:val="center"/>
      </w:pPr>
      <w:r>
        <w:rPr>
          <w:rFonts w:ascii="Times New Roman" w:hAnsi="Times New Roman"/>
          <w:i/>
          <w:color w:val="646464"/>
          <w:sz w:val="16"/>
        </w:rPr>
        <w:t>[Figure 14.2.3: CDF plot: X=Change from Baseline, Y=Cumulative Proportion, two arms.]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ADEFF. Program: f_cdf_eff.sas.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14.2.4  Waterfall Plot — Best Percentage Change in Target Lesions</w:t>
      </w:r>
      <w:r>
        <w:bookmarkStart w:id="0" w:name="F14.2.4"/>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with Measurable Disease and Post-Baseline Assessment</w:t>
      </w:r>
    </w:p>
    <w:p>
      <w:pPr>
        <w:spacing w:before="120" w:after="40"/>
        <w:jc w:val="center"/>
      </w:pPr>
      <w:r>
        <w:drawing>
          <wp:inline xmlns:a="http://schemas.openxmlformats.org/drawingml/2006/main" xmlns:pic="http://schemas.openxmlformats.org/drawingml/2006/picture">
            <wp:extent cx="5486400" cy="279927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799272"/>
                    </a:xfrm>
                    <a:prstGeom prst="rect"/>
                  </pic:spPr>
                </pic:pic>
              </a:graphicData>
            </a:graphic>
          </wp:inline>
        </w:drawing>
      </w:r>
    </w:p>
    <w:p>
      <w:pPr>
        <w:keepNext/>
        <w:spacing w:before="0" w:after="40"/>
        <w:jc w:val="center"/>
      </w:pPr>
      <w:r>
        <w:rPr>
          <w:rFonts w:ascii="Times New Roman" w:hAnsi="Times New Roman"/>
          <w:i/>
          <w:color w:val="646464"/>
          <w:sz w:val="16"/>
        </w:rPr>
        <w:t>[Figure 14.2.4: Waterfall: best % change per subject, BOR-colored bars, ref lines +20%/-30%.]</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Dataset: ADSL, ADRS. Program: f_waterfall.sas.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14.2.5  Spider Plot — Percentage Change in Tumor Burden Over Time</w:t>
      </w:r>
      <w:r>
        <w:bookmarkStart w:id="0" w:name="F14.2.5"/>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with Measurable Disease</w:t>
      </w:r>
    </w:p>
    <w:p>
      <w:pPr>
        <w:spacing w:before="120" w:after="40"/>
        <w:jc w:val="center"/>
      </w:pPr>
      <w:r>
        <w:drawing>
          <wp:inline xmlns:a="http://schemas.openxmlformats.org/drawingml/2006/main" xmlns:pic="http://schemas.openxmlformats.org/drawingml/2006/picture">
            <wp:extent cx="5486400" cy="3082300"/>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3082300"/>
                    </a:xfrm>
                    <a:prstGeom prst="rect"/>
                  </pic:spPr>
                </pic:pic>
              </a:graphicData>
            </a:graphic>
          </wp:inline>
        </w:drawing>
      </w:r>
    </w:p>
    <w:p>
      <w:pPr>
        <w:keepNext/>
        <w:spacing w:before="0" w:after="40"/>
        <w:jc w:val="center"/>
      </w:pPr>
      <w:r>
        <w:rPr>
          <w:rFonts w:ascii="Times New Roman" w:hAnsi="Times New Roman"/>
          <w:i/>
          <w:color w:val="646464"/>
          <w:sz w:val="16"/>
        </w:rPr>
        <w:t>[Figure 14.2.5: Spider: % change trajectories, BOR-colored lines, PD/death terminal markers.]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Dataset: ADSL, ADRS. Program: f_spider.sas.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14.2.6  Swimmer Plot — Duration of Treatment and Response</w:t>
      </w:r>
      <w:r>
        <w:bookmarkStart w:id="0" w:name="F14.2.6"/>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Safety Population</w:t>
      </w:r>
    </w:p>
    <w:p>
      <w:pPr>
        <w:spacing w:before="120" w:after="40"/>
        <w:jc w:val="center"/>
      </w:pPr>
      <w:r>
        <w:drawing>
          <wp:inline xmlns:a="http://schemas.openxmlformats.org/drawingml/2006/main" xmlns:pic="http://schemas.openxmlformats.org/drawingml/2006/picture">
            <wp:extent cx="5486400" cy="312780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3127800"/>
                    </a:xfrm>
                    <a:prstGeom prst="rect"/>
                  </pic:spPr>
                </pic:pic>
              </a:graphicData>
            </a:graphic>
          </wp:inline>
        </w:drawing>
      </w:r>
    </w:p>
    <w:p>
      <w:pPr>
        <w:keepNext/>
        <w:spacing w:before="0" w:after="40"/>
        <w:jc w:val="center"/>
      </w:pPr>
      <w:r>
        <w:rPr>
          <w:rFonts w:ascii="Times New Roman" w:hAnsi="Times New Roman"/>
          <w:i/>
          <w:color w:val="646464"/>
          <w:sz w:val="16"/>
        </w:rPr>
        <w:t>[Figure 14.2.6: Swimmer: horizontal bars showing treatment duration, response/progression/ongoing markers.]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L16.2.10</w:t>
      </w:r>
    </w:p>
    <w:p>
      <w:pPr>
        <w:spacing w:before="0" w:after="0"/>
      </w:pPr>
      <w:r>
        <w:rPr>
          <w:rFonts w:ascii="Times New Roman" w:hAnsi="Times New Roman"/>
          <w:i/>
          <w:sz w:val="16"/>
        </w:rPr>
        <w:t>[2] Dataset: ADSL, ADEX, ADRS. Program: f_swimmer.sas.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14.2.7  Kaplan-Meier Plot — Progression-Free Survival</w:t>
      </w:r>
      <w:r>
        <w:bookmarkStart w:id="0" w:name="F14.2.7"/>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4160520"/>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4160520"/>
                    </a:xfrm>
                    <a:prstGeom prst="rect"/>
                  </pic:spPr>
                </pic:pic>
              </a:graphicData>
            </a:graphic>
          </wp:inline>
        </w:drawing>
      </w:r>
    </w:p>
    <w:p>
      <w:pPr>
        <w:keepNext/>
        <w:spacing w:before="0" w:after="40"/>
        <w:jc w:val="center"/>
      </w:pPr>
      <w:r>
        <w:rPr>
          <w:rFonts w:ascii="Times New Roman" w:hAnsi="Times New Roman"/>
          <w:i/>
          <w:color w:val="646464"/>
          <w:sz w:val="16"/>
        </w:rPr>
        <w:t>[Figure 14.2.7: KM PFS: step-function curves, + censoring, number-at-risk table, HR/p-value annotation.]</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L16.2.11</w:t>
      </w:r>
    </w:p>
    <w:p>
      <w:pPr>
        <w:spacing w:before="0" w:after="0"/>
      </w:pPr>
      <w:r>
        <w:rPr>
          <w:rFonts w:ascii="Times New Roman" w:hAnsi="Times New Roman"/>
          <w:i/>
          <w:sz w:val="16"/>
        </w:rPr>
        <w:t>[2] Dataset: ADSL, ADTTE. Program: f_km_pfs.sas.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14.2.8  Kaplan-Meier Plot — Overall Survival</w:t>
      </w:r>
      <w:r>
        <w:bookmarkStart w:id="0" w:name="F14.2.8"/>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416052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4160520"/>
                    </a:xfrm>
                    <a:prstGeom prst="rect"/>
                  </pic:spPr>
                </pic:pic>
              </a:graphicData>
            </a:graphic>
          </wp:inline>
        </w:drawing>
      </w:r>
    </w:p>
    <w:p>
      <w:pPr>
        <w:keepNext/>
        <w:spacing w:before="0" w:after="40"/>
        <w:jc w:val="center"/>
      </w:pPr>
      <w:r>
        <w:rPr>
          <w:rFonts w:ascii="Times New Roman" w:hAnsi="Times New Roman"/>
          <w:i/>
          <w:color w:val="646464"/>
          <w:sz w:val="16"/>
        </w:rPr>
        <w:t>[Figure 14.2.8: KM OS: step-function curves, + censoring, number-at-risk table, HR/p-value annotation.]</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L16.2.11</w:t>
      </w:r>
    </w:p>
    <w:p>
      <w:pPr>
        <w:spacing w:before="0" w:after="0"/>
      </w:pPr>
      <w:r>
        <w:rPr>
          <w:rFonts w:ascii="Times New Roman" w:hAnsi="Times New Roman"/>
          <w:i/>
          <w:sz w:val="16"/>
        </w:rPr>
        <w:t>[2] Dataset: ADSL, ADTTE. Program: f_km_os.sas.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14.2.9  Forest Plot — PFS by Subgroup</w:t>
      </w:r>
      <w:r>
        <w:bookmarkStart w:id="0" w:name="F14.2.9"/>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2412370"/>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412370"/>
                    </a:xfrm>
                    <a:prstGeom prst="rect"/>
                  </pic:spPr>
                </pic:pic>
              </a:graphicData>
            </a:graphic>
          </wp:inline>
        </w:drawing>
      </w:r>
    </w:p>
    <w:p>
      <w:pPr>
        <w:keepNext/>
        <w:spacing w:before="0" w:after="40"/>
        <w:jc w:val="center"/>
      </w:pPr>
      <w:r>
        <w:rPr>
          <w:rFonts w:ascii="Times New Roman" w:hAnsi="Times New Roman"/>
          <w:i/>
          <w:color w:val="646464"/>
          <w:sz w:val="16"/>
        </w:rPr>
        <w:t>[Figure 14.2.9: Forest PFS: HR [95% CI] per subgroup, overall diamond at bottom.]</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L16.2.11</w:t>
      </w:r>
    </w:p>
    <w:p>
      <w:pPr>
        <w:spacing w:before="0" w:after="0"/>
      </w:pPr>
      <w:r>
        <w:rPr>
          <w:rFonts w:ascii="Times New Roman" w:hAnsi="Times New Roman"/>
          <w:i/>
          <w:sz w:val="16"/>
        </w:rPr>
        <w:t>[2] Dataset: ADSL, ADTTE. Program: f_forest_pfs.sas.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14.2.10  Forest Plot — OS by Subgroup</w:t>
      </w:r>
      <w:r>
        <w:bookmarkStart w:id="0" w:name="F14.2.10"/>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2412370"/>
            <wp:docPr id="10" name="Picture 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412370"/>
                    </a:xfrm>
                    <a:prstGeom prst="rect"/>
                  </pic:spPr>
                </pic:pic>
              </a:graphicData>
            </a:graphic>
          </wp:inline>
        </w:drawing>
      </w:r>
    </w:p>
    <w:p>
      <w:pPr>
        <w:keepNext/>
        <w:spacing w:before="0" w:after="40"/>
        <w:jc w:val="center"/>
      </w:pPr>
      <w:r>
        <w:rPr>
          <w:rFonts w:ascii="Times New Roman" w:hAnsi="Times New Roman"/>
          <w:i/>
          <w:color w:val="646464"/>
          <w:sz w:val="16"/>
        </w:rPr>
        <w:t>[Figure 14.2.10: Forest OS: HR [95% CI] per subgroup, overall diamond at bottom.]</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L16.2.11</w:t>
      </w:r>
    </w:p>
    <w:p>
      <w:pPr>
        <w:spacing w:before="0" w:after="0"/>
      </w:pPr>
      <w:r>
        <w:rPr>
          <w:rFonts w:ascii="Times New Roman" w:hAnsi="Times New Roman"/>
          <w:i/>
          <w:sz w:val="16"/>
        </w:rPr>
        <w:t>[2] Dataset: ADSL, ADTTE. Program: f_forest_os.sas.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14.2.11  Kaplan-Meier Plot — Time to First Clinically Significant Event</w:t>
      </w:r>
      <w:r>
        <w:bookmarkStart w:id="0" w:name="F14.2.11"/>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4160520"/>
            <wp:docPr id="11" name="Picture 1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4160520"/>
                    </a:xfrm>
                    <a:prstGeom prst="rect"/>
                  </pic:spPr>
                </pic:pic>
              </a:graphicData>
            </a:graphic>
          </wp:inline>
        </w:drawing>
      </w:r>
    </w:p>
    <w:p>
      <w:pPr>
        <w:keepNext/>
        <w:spacing w:before="0" w:after="40"/>
        <w:jc w:val="center"/>
      </w:pPr>
      <w:r>
        <w:rPr>
          <w:rFonts w:ascii="Times New Roman" w:hAnsi="Times New Roman"/>
          <w:i/>
          <w:color w:val="646464"/>
          <w:sz w:val="16"/>
        </w:rPr>
        <w:t>[Figure 14.2.11: KM curve for time to first protocol-defined clinically significant event with censoring marks and number-at-risk table.]</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L16.2.34</w:t>
      </w:r>
    </w:p>
    <w:p>
      <w:pPr>
        <w:spacing w:before="0" w:after="0"/>
      </w:pPr>
      <w:r>
        <w:rPr>
          <w:rFonts w:ascii="Times New Roman" w:hAnsi="Times New Roman"/>
          <w:i/>
          <w:sz w:val="16"/>
        </w:rPr>
        <w:t>[2] Dataset: ADSL, ADTTE. Program: f_km_event_nononc.sas.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14.2.12  Kaplan-Meier Plot — Time to First Moderate or Severe Respiratory Exacerbation</w:t>
      </w:r>
      <w:r>
        <w:bookmarkStart w:id="0" w:name="F14.2.12"/>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4160520"/>
            <wp:docPr id="12" name="Picture 1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4160520"/>
                    </a:xfrm>
                    <a:prstGeom prst="rect"/>
                  </pic:spPr>
                </pic:pic>
              </a:graphicData>
            </a:graphic>
          </wp:inline>
        </w:drawing>
      </w:r>
    </w:p>
    <w:p>
      <w:pPr>
        <w:keepNext/>
        <w:spacing w:before="0" w:after="40"/>
        <w:jc w:val="center"/>
      </w:pPr>
      <w:r>
        <w:rPr>
          <w:rFonts w:ascii="Times New Roman" w:hAnsi="Times New Roman"/>
          <w:i/>
          <w:color w:val="646464"/>
          <w:sz w:val="16"/>
        </w:rPr>
        <w:t>[Figure 14.2.12: KM curve for time to first moderate or severe respiratory exacerbation with censoring marks and number-at-risk table.]</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L16.2.35</w:t>
      </w:r>
    </w:p>
    <w:p>
      <w:pPr>
        <w:spacing w:before="0" w:after="0"/>
      </w:pPr>
      <w:r>
        <w:rPr>
          <w:rFonts w:ascii="Times New Roman" w:hAnsi="Times New Roman"/>
          <w:i/>
          <w:sz w:val="16"/>
        </w:rPr>
        <w:t>[2] Dataset: ADSL, ADTTE. Program: f_resp_exac_km.sas.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14.2.13  Kaplan-Meier Plot — Time to First MACE or Heart Failure Hospitalization</w:t>
      </w:r>
      <w:r>
        <w:bookmarkStart w:id="0" w:name="F14.2.13"/>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4160520"/>
            <wp:docPr id="13" name="Picture 1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4160520"/>
                    </a:xfrm>
                    <a:prstGeom prst="rect"/>
                  </pic:spPr>
                </pic:pic>
              </a:graphicData>
            </a:graphic>
          </wp:inline>
        </w:drawing>
      </w:r>
    </w:p>
    <w:p>
      <w:pPr>
        <w:keepNext/>
        <w:spacing w:before="0" w:after="40"/>
        <w:jc w:val="center"/>
      </w:pPr>
      <w:r>
        <w:rPr>
          <w:rFonts w:ascii="Times New Roman" w:hAnsi="Times New Roman"/>
          <w:i/>
          <w:color w:val="646464"/>
          <w:sz w:val="16"/>
        </w:rPr>
        <w:t>[Figure 14.2.13: KM curve for time to first adjudicated MACE or worsening-heart-failure hospitalization with censoring marks and number-at-risk table.]</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L16.2.36</w:t>
      </w:r>
    </w:p>
    <w:p>
      <w:pPr>
        <w:spacing w:before="0" w:after="0"/>
      </w:pPr>
      <w:r>
        <w:rPr>
          <w:rFonts w:ascii="Times New Roman" w:hAnsi="Times New Roman"/>
          <w:i/>
          <w:sz w:val="16"/>
        </w:rPr>
        <w:t>[2] Dataset: ADSL, ADTTE. Program: f_mace_hf_km.sas.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14.2.14  Kaplan-Meier Plot — Time to First Autoimmune Flare or Rescue Therapy</w:t>
      </w:r>
      <w:r>
        <w:bookmarkStart w:id="0" w:name="F14.2.14"/>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p>
      <w:pPr>
        <w:spacing w:before="120" w:after="40"/>
        <w:jc w:val="center"/>
      </w:pPr>
      <w:r>
        <w:drawing>
          <wp:inline xmlns:a="http://schemas.openxmlformats.org/drawingml/2006/main" xmlns:pic="http://schemas.openxmlformats.org/drawingml/2006/picture">
            <wp:extent cx="5486400" cy="4160520"/>
            <wp:docPr id="14" name="Picture 1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4160520"/>
                    </a:xfrm>
                    <a:prstGeom prst="rect"/>
                  </pic:spPr>
                </pic:pic>
              </a:graphicData>
            </a:graphic>
          </wp:inline>
        </w:drawing>
      </w:r>
    </w:p>
    <w:p>
      <w:pPr>
        <w:keepNext/>
        <w:spacing w:before="0" w:after="40"/>
        <w:jc w:val="center"/>
      </w:pPr>
      <w:r>
        <w:rPr>
          <w:rFonts w:ascii="Times New Roman" w:hAnsi="Times New Roman"/>
          <w:i/>
          <w:color w:val="646464"/>
          <w:sz w:val="16"/>
        </w:rPr>
        <w:t>[Figure 14.2.14: KM curve for time to first autoimmune flare or rescue therapy with censoring marks and number-at-risk table.]</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L16.2.37</w:t>
      </w:r>
    </w:p>
    <w:p>
      <w:pPr>
        <w:spacing w:before="0" w:after="0"/>
      </w:pPr>
      <w:r>
        <w:rPr>
          <w:rFonts w:ascii="Times New Roman" w:hAnsi="Times New Roman"/>
          <w:i/>
          <w:sz w:val="16"/>
        </w:rPr>
        <w:t>[2] Dataset: ADSL, ADTTE, ADCM. Program: f_autoimmune_flare_km.sas.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14.2.15  Mean Change from Baseline in HbA1c Over Time by Treatment Group</w:t>
      </w:r>
      <w:r>
        <w:bookmarkStart w:id="0" w:name="F14.2.15"/>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Full Analysis Set (FAS)</w:t>
      </w:r>
    </w:p>
    <w:p>
      <w:pPr>
        <w:spacing w:before="120" w:after="40"/>
        <w:jc w:val="center"/>
      </w:pPr>
      <w:r>
        <w:drawing>
          <wp:inline xmlns:a="http://schemas.openxmlformats.org/drawingml/2006/main" xmlns:pic="http://schemas.openxmlformats.org/drawingml/2006/picture">
            <wp:extent cx="5486400" cy="3100597"/>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3100597"/>
                    </a:xfrm>
                    <a:prstGeom prst="rect"/>
                  </pic:spPr>
                </pic:pic>
              </a:graphicData>
            </a:graphic>
          </wp:inline>
        </w:drawing>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L16.2.38</w:t>
      </w:r>
    </w:p>
    <w:p>
      <w:pPr>
        <w:spacing w:before="0" w:after="0"/>
      </w:pPr>
      <w:r>
        <w:rPr>
          <w:rFonts w:ascii="Times New Roman" w:hAnsi="Times New Roman"/>
          <w:i/>
          <w:sz w:val="16"/>
        </w:rPr>
        <w:t>[2] Dataset: ADLB, ADSL. Program: f_hba1c_longitudinal.sas.</w:t>
      </w:r>
      <w:r>
        <w:br w:type="page"/>
      </w:r>
    </w:p>
    <w:p>
      <w:pPr>
        <w:pStyle w:val="Heading2"/>
      </w:pPr>
      <w:r>
        <w:t>14.3  Safety Analysis</w:t>
      </w:r>
    </w:p>
    <w:p>
      <w:pPr>
        <w:pStyle w:val="Heading3"/>
        <w:spacing w:before="120" w:after="80"/>
      </w:pPr>
      <w:r>
        <w:rPr>
          <w:rFonts w:ascii="Times New Roman" w:hAnsi="Times New Roman"/>
          <w:b/>
          <w:color w:val="003366"/>
          <w:sz w:val="22"/>
        </w:rPr>
        <w:t>14.3.1  Adverse Events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14.3.1.1  Overall Summary of Treatment-Emergent Adverse Events</w:t>
      </w:r>
      <w:r>
        <w:bookmarkStart w:id="0" w:name="T14.3.1.1"/>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Adverse Event 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r>
      <w:tr>
        <w:tc>
          <w:tcPr>
            <w:tcW w:type="dxa" w:w="2736"/>
          </w:tcPr>
          <w:p>
            <w:pPr>
              <w:spacing w:before="120" w:after="20" w:line="240" w:lineRule="exact"/>
              <w:jc w:val="left"/>
            </w:pPr>
            <w:r>
              <w:rPr>
                <w:rFonts w:ascii="Times New Roman" w:hAnsi="Times New Roman"/>
                <w:b/>
                <w:sz w:val="18"/>
              </w:rPr>
              <w:t>Any TEAE</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20" w:after="20" w:line="240" w:lineRule="exact"/>
              <w:jc w:val="left"/>
            </w:pPr>
            <w:r>
              <w:rPr>
                <w:rFonts w:ascii="Times New Roman" w:hAnsi="Times New Roman"/>
                <w:b w:val="0"/>
                <w:sz w:val="18"/>
              </w:rPr>
              <w:t>Drug-Related TEAE</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CTCAE Grade &gt;=3 TEAE</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Drug-Related Grade &gt;=3 TEAE</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Serious TEAE (SAE)</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Drug-Related SAE</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TEAE Leading to Treatment Discontinuation</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TEAE Leading to Dose Interruption</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TEAE Leading to Dose Reduction</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Fatal TEAE (Grade 5)</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xx (xx.x) [xx]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TEAE: onset on/after first dose through 30 days after last dose.</w:t>
      </w:r>
    </w:p>
    <w:p>
      <w:pPr>
        <w:spacing w:before="0" w:after="0"/>
      </w:pPr>
      <w:r>
        <w:rPr>
          <w:rFonts w:ascii="Times New Roman" w:hAnsi="Times New Roman"/>
          <w:i/>
          <w:sz w:val="16"/>
        </w:rPr>
        <w:t>[3] Abbreviations: TEAE = treatment-emergent adverse event; SAE = serious adverse event; CTCAE = Common Terminology Criteria for Adverse Events.</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t_ae_overview.sas.</w:t>
      </w:r>
    </w:p>
    <w:p>
      <w:pPr>
        <w:spacing w:before="0" w:after="0"/>
      </w:pPr>
      <w:r>
        <w:rPr>
          <w:rFonts w:ascii="Times New Roman" w:hAnsi="Times New Roman"/>
          <w:i/>
          <w:sz w:val="16"/>
        </w:rPr>
        <w:t>[6]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14.3.1.2  TEAEs by System Organ Class and Preferred Term (&gt;=5% in Any Arm)</w:t>
      </w:r>
      <w:r>
        <w:bookmarkStart w:id="0" w:name="T14.3.1.2"/>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r>
      <w:tr>
        <w:tc>
          <w:tcPr>
            <w:tcW w:type="dxa" w:w="2736"/>
          </w:tcPr>
          <w:p>
            <w:pPr>
              <w:spacing w:before="120" w:after="20" w:line="240" w:lineRule="exact"/>
              <w:jc w:val="left"/>
            </w:pPr>
            <w:r>
              <w:rPr>
                <w:rFonts w:ascii="Times New Roman" w:hAnsi="Times New Roman"/>
                <w:b/>
                <w:sz w:val="18"/>
              </w:rPr>
              <w:t>Any TEAE</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Nausea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Diarrhoea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Vomiting</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Constipation</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General disorders and administration site conditions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Fatigue</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Pyrexia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Asthenia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Blood and lymphatic system disorders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Anaemia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Neutropenia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Thrombocytopenia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Metabolism and nutrition disorders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Decreased appetite</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Hypokalaemia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Skin and subcutaneous tissue disorders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Rash</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Pruritus</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Nervous system disorders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Headache</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Dizziness</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Respiratory, thoracic and mediastinal disorders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Cough</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Dyspnoea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Infections and infestations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Upper respiratory tract infection</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Sorted alphabetically by SOC; PTs by descending frequency in Group 1. [E]=total events.</w:t>
      </w:r>
    </w:p>
    <w:p>
      <w:pPr>
        <w:spacing w:before="0" w:after="0"/>
      </w:pPr>
      <w:r>
        <w:rPr>
          <w:rFonts w:ascii="Times New Roman" w:hAnsi="Times New Roman"/>
          <w:i/>
          <w:sz w:val="16"/>
        </w:rPr>
        <w:t>[3] Abbreviations: TEAE = treatment-emergent adverse event; SOC = system organ class; PT = preferred term; CTCAE = Common Terminology Criteria for Adverse Events.</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t_ae_soc_pt.sas.</w:t>
      </w:r>
    </w:p>
    <w:p>
      <w:pPr>
        <w:spacing w:before="0" w:after="0"/>
      </w:pPr>
      <w:r>
        <w:rPr>
          <w:rFonts w:ascii="Times New Roman" w:hAnsi="Times New Roman"/>
          <w:i/>
          <w:sz w:val="16"/>
        </w:rPr>
        <w:t>[6]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14.3.1.3  TEAEs by SOC, PT, and Maximum CTCAE Grade</w:t>
      </w:r>
      <w:r>
        <w:bookmarkStart w:id="0" w:name="T14.3.1.3"/>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 /</w:t>
            </w:r>
          </w:p>
          <w:p>
            <w:pPr>
              <w:spacing w:before="0" w:after="0"/>
              <w:jc w:val="left"/>
            </w:pPr>
            <w:r>
              <w:rPr>
                <w:rFonts w:ascii="Times New Roman" w:hAnsi="Times New Roman"/>
                <w:b/>
                <w:sz w:val="18"/>
              </w:rPr>
              <w:t>Preferred Term / Maximum Grade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 xml:space="preserve">      Nausea</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Any Grade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Grade 1</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Grade 2</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Grade 3</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Grade 4</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Grade 5</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Maximum grade is displayed as a row hierarchy within each SOC/PT. Each subject is counted once at the maximum post-baseline grade within each level.</w:t>
      </w:r>
    </w:p>
    <w:p>
      <w:pPr>
        <w:spacing w:before="0" w:after="0"/>
      </w:pPr>
      <w:r>
        <w:rPr>
          <w:rFonts w:ascii="Times New Roman" w:hAnsi="Times New Roman"/>
          <w:i/>
          <w:sz w:val="16"/>
        </w:rPr>
        <w:t>[3] Abbreviations: TEAE = treatment-emergent adverse event; SOC = system organ class; PT = preferred term; CTCAE = Common Terminology Criteria for Adverse Events.</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t_ae_grade.sas.</w:t>
      </w:r>
    </w:p>
    <w:p>
      <w:pPr>
        <w:spacing w:before="0" w:after="0"/>
      </w:pPr>
      <w:r>
        <w:rPr>
          <w:rFonts w:ascii="Times New Roman" w:hAnsi="Times New Roman"/>
          <w:i/>
          <w:sz w:val="16"/>
        </w:rPr>
        <w:t>[6]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14.3.1.4  Drug-Related TEAEs by SOC and PT</w:t>
      </w:r>
      <w:r>
        <w:bookmarkStart w:id="0" w:name="T14.3.1.4"/>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w:t>
            </w:r>
          </w:p>
          <w:p>
            <w:pPr>
              <w:spacing w:before="0" w:after="0"/>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Any Drug-Related TEAE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Gastrointestinal disorders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Nausea</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Diarrhea</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Abbreviations: TEAE = treatment-emergent adverse event; SOC = system organ class; PT = preferred term.</w:t>
      </w:r>
    </w:p>
    <w:p>
      <w:pPr>
        <w:spacing w:before="0" w:after="0"/>
      </w:pPr>
      <w:r>
        <w:rPr>
          <w:rFonts w:ascii="Times New Roman" w:hAnsi="Times New Roman"/>
          <w:i/>
          <w:sz w:val="16"/>
        </w:rPr>
        <w:t>[3] Statistical definitions: Percentages use the number of subjects in the Safety Population within each treatment group unless otherwise specified.</w:t>
      </w:r>
    </w:p>
    <w:p>
      <w:pPr>
        <w:spacing w:before="0" w:after="0"/>
      </w:pPr>
      <w:r>
        <w:rPr>
          <w:rFonts w:ascii="Times New Roman" w:hAnsi="Times New Roman"/>
          <w:i/>
          <w:sz w:val="16"/>
        </w:rPr>
        <w:t>[4] Dataset: ADSL, ADAE. Program: t_ae_related.sas.</w:t>
      </w:r>
    </w:p>
    <w:p>
      <w:pPr>
        <w:spacing w:before="0" w:after="0"/>
      </w:pPr>
      <w:r>
        <w:rPr>
          <w:rFonts w:ascii="Times New Roman" w:hAnsi="Times New Roman"/>
          <w:i/>
          <w:sz w:val="16"/>
        </w:rPr>
        <w:t>[5]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14.3.1.5  Serious Adverse Events by SOC and PT</w:t>
      </w:r>
      <w:r>
        <w:bookmarkStart w:id="0" w:name="T14.3.1.5"/>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r>
      <w:tr>
        <w:tc>
          <w:tcPr>
            <w:tcW w:type="dxa" w:w="2736"/>
          </w:tcPr>
          <w:p>
            <w:pPr>
              <w:spacing w:before="120" w:after="20" w:line="240" w:lineRule="exact"/>
              <w:jc w:val="left"/>
            </w:pPr>
            <w:r>
              <w:rPr>
                <w:rFonts w:ascii="Times New Roman" w:hAnsi="Times New Roman"/>
                <w:b/>
                <w:sz w:val="18"/>
              </w:rPr>
              <w:t>Any SAE</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120" w:after="20" w:line="240" w:lineRule="exact"/>
              <w:jc w:val="left"/>
            </w:pPr>
            <w:r>
              <w:rPr>
                <w:rFonts w:ascii="Times New Roman" w:hAnsi="Times New Roman"/>
                <w:b/>
                <w:sz w:val="18"/>
              </w:rPr>
              <w:t>Infections and infestations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Pneumonia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Sepsis</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Diarrhoea</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0" w:after="20" w:line="240" w:lineRule="exact"/>
              <w:jc w:val="left"/>
            </w:pPr>
            <w:r>
              <w:rPr>
                <w:rFonts w:ascii="Times New Roman" w:hAnsi="Times New Roman"/>
                <w:b w:val="0"/>
                <w:sz w:val="18"/>
              </w:rPr>
              <w:t xml:space="preserve">      Intestinal Obstruction</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120" w:after="20" w:line="240" w:lineRule="exact"/>
              <w:jc w:val="left"/>
            </w:pPr>
            <w:r>
              <w:rPr>
                <w:rFonts w:ascii="Times New Roman" w:hAnsi="Times New Roman"/>
                <w:b/>
                <w:sz w:val="18"/>
              </w:rPr>
              <w:t>Respiratory, thoracic and mediastinal disorders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Pulmonary Embolism</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xx (xx.x) [xx]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 [xx]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L16.2.5</w:t>
      </w:r>
    </w:p>
    <w:p>
      <w:pPr>
        <w:spacing w:before="0" w:after="0"/>
      </w:pPr>
      <w:r>
        <w:rPr>
          <w:rFonts w:ascii="Times New Roman" w:hAnsi="Times New Roman"/>
          <w:i/>
          <w:sz w:val="16"/>
        </w:rPr>
        <w:t>[2] SAE defined per ICH E2A criteria.</w:t>
      </w:r>
    </w:p>
    <w:p>
      <w:pPr>
        <w:spacing w:before="0" w:after="0"/>
      </w:pPr>
      <w:r>
        <w:rPr>
          <w:rFonts w:ascii="Times New Roman" w:hAnsi="Times New Roman"/>
          <w:i/>
          <w:sz w:val="16"/>
        </w:rPr>
        <w:t>[3] Abbreviations: SAE = serious adverse event; SOC = system organ class; PT = preferred term; ICH = International Council for Harmonisation; E2A = ICH Clinical Safety Data Management guidance.</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t_sae_soc_pt.sas.</w:t>
      </w:r>
    </w:p>
    <w:p>
      <w:pPr>
        <w:spacing w:before="0" w:after="0"/>
      </w:pPr>
      <w:r>
        <w:rPr>
          <w:rFonts w:ascii="Times New Roman" w:hAnsi="Times New Roman"/>
          <w:i/>
          <w:sz w:val="16"/>
        </w:rPr>
        <w:t>[6]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14.3.1.6  TEAEs Leading to Treatment Discontinuation by SOC and PT</w:t>
      </w:r>
      <w:r>
        <w:bookmarkStart w:id="0" w:name="T14.3.1.6"/>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w:t>
            </w:r>
          </w:p>
          <w:p>
            <w:pPr>
              <w:spacing w:before="0" w:after="0"/>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Any TEAE Leading to Discontinuation</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Diarrhoea</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Nausea</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General disorders and administration site conditions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Asthenia</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Investigations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ALT Increased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AST Increased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Abbreviations: TEAE = treatment-emergent adverse event; SOC = system organ class; PT = preferred term; ALT = alanine aminotransferase; AST = aspartate aminotransferase.</w:t>
      </w:r>
    </w:p>
    <w:p>
      <w:pPr>
        <w:spacing w:before="0" w:after="0"/>
      </w:pPr>
      <w:r>
        <w:rPr>
          <w:rFonts w:ascii="Times New Roman" w:hAnsi="Times New Roman"/>
          <w:i/>
          <w:sz w:val="16"/>
        </w:rPr>
        <w:t>[3] Statistical definitions: Percentages use the number of subjects in the Safety Population within each treatment group unless otherwise specified.</w:t>
      </w:r>
    </w:p>
    <w:p>
      <w:pPr>
        <w:spacing w:before="0" w:after="0"/>
      </w:pPr>
      <w:r>
        <w:rPr>
          <w:rFonts w:ascii="Times New Roman" w:hAnsi="Times New Roman"/>
          <w:i/>
          <w:sz w:val="16"/>
        </w:rPr>
        <w:t>[4] Dataset: ADSL, ADAE. Program: t_ae_disc.sas.</w:t>
      </w:r>
    </w:p>
    <w:p>
      <w:pPr>
        <w:spacing w:before="0" w:after="0"/>
      </w:pPr>
      <w:r>
        <w:rPr>
          <w:rFonts w:ascii="Times New Roman" w:hAnsi="Times New Roman"/>
          <w:i/>
          <w:sz w:val="16"/>
        </w:rPr>
        <w:t>[5]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14.3.1.7  TEAEs Leading to Dose Reduction or Interruption by SOC and PT</w:t>
      </w:r>
      <w:r>
        <w:bookmarkStart w:id="0" w:name="T14.3.1.7"/>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w:t>
            </w:r>
          </w:p>
          <w:p>
            <w:pPr>
              <w:spacing w:before="0" w:after="0"/>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Any TEAE Leading to Dose Modification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Gastrointestinal disorders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Diarrhea</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 xml:space="preserve">  Nausea</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Abbreviations: TEAE = treatment-emergent adverse event; SOC = system organ class; PT = preferred term.</w:t>
      </w:r>
    </w:p>
    <w:p>
      <w:pPr>
        <w:spacing w:before="0" w:after="0"/>
      </w:pPr>
      <w:r>
        <w:rPr>
          <w:rFonts w:ascii="Times New Roman" w:hAnsi="Times New Roman"/>
          <w:i/>
          <w:sz w:val="16"/>
        </w:rPr>
        <w:t>[3] Statistical definitions: Percentages use the number of subjects in the Safety Population within each treatment group unless otherwise specified.</w:t>
      </w:r>
    </w:p>
    <w:p>
      <w:pPr>
        <w:spacing w:before="0" w:after="0"/>
      </w:pPr>
      <w:r>
        <w:rPr>
          <w:rFonts w:ascii="Times New Roman" w:hAnsi="Times New Roman"/>
          <w:i/>
          <w:sz w:val="16"/>
        </w:rPr>
        <w:t>[4] Dataset: ADSL, ADAE. Program: t_ae_dose_mod.sas.</w:t>
      </w:r>
    </w:p>
    <w:p>
      <w:pPr>
        <w:spacing w:before="0" w:after="0"/>
      </w:pPr>
      <w:r>
        <w:rPr>
          <w:rFonts w:ascii="Times New Roman" w:hAnsi="Times New Roman"/>
          <w:i/>
          <w:sz w:val="16"/>
        </w:rPr>
        <w:t>[5]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14.3.1.10  Exposure-Adjusted TEAE Incidence Rates (per 100 Patient-Years)</w:t>
      </w:r>
      <w:r>
        <w:bookmarkStart w:id="0" w:name="T14.3.1.10"/>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 Rate</w:t>
            </w:r>
          </w:p>
          <w:p>
            <w:pPr>
              <w:spacing w:before="0" w:after="0"/>
              <w:jc w:val="center"/>
            </w:pPr>
            <w:r>
              <w:rPr>
                <w:rFonts w:ascii="Times New Roman" w:hAnsi="Times New Roman"/>
                <w:b/>
                <w:sz w:val="18"/>
              </w:rPr>
              <w:t>[95% CI]</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 Rate</w:t>
            </w:r>
          </w:p>
          <w:p>
            <w:pPr>
              <w:spacing w:before="0" w:after="0"/>
              <w:jc w:val="center"/>
            </w:pPr>
            <w:r>
              <w:rPr>
                <w:rFonts w:ascii="Times New Roman" w:hAnsi="Times New Roman"/>
                <w:b/>
                <w:sz w:val="18"/>
              </w:rPr>
              <w:t>[95% CI]</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[95% CI]</w:t>
            </w:r>
          </w:p>
        </w:tc>
      </w:tr>
      <w:tr>
        <w:tc>
          <w:tcPr>
            <w:tcW w:type="dxa" w:w="2736"/>
          </w:tcPr>
          <w:p>
            <w:pPr>
              <w:spacing w:before="20" w:after="20" w:line="240" w:lineRule="exact"/>
              <w:jc w:val="left"/>
            </w:pPr>
            <w:r>
              <w:rPr>
                <w:rFonts w:ascii="Times New Roman" w:hAnsi="Times New Roman"/>
                <w:b w:val="0"/>
                <w:sz w:val="18"/>
              </w:rPr>
              <w:t>Fatigue</w:t>
            </w:r>
          </w:p>
        </w:tc>
        <w:tc>
          <w:tcPr>
            <w:tcW w:type="dxa" w:w="2736"/>
          </w:tcPr>
          <w:p>
            <w:pPr>
              <w:spacing w:before="20" w:after="20" w:line="240" w:lineRule="exact"/>
              <w:jc w:val="center"/>
            </w:pPr>
            <w:r>
              <w:rPr>
                <w:rFonts w:ascii="Times New Roman" w:hAnsi="Times New Roman"/>
                <w:b w:val="0"/>
                <w:sz w:val="18"/>
              </w:rPr>
              <w:t>xx.xx [xx.xx, xx.xx]</w:t>
            </w:r>
          </w:p>
        </w:tc>
        <w:tc>
          <w:tcPr>
            <w:tcW w:type="dxa" w:w="2736"/>
          </w:tcPr>
          <w:p>
            <w:pPr>
              <w:spacing w:before="20" w:after="20" w:line="240" w:lineRule="exact"/>
              <w:jc w:val="center"/>
            </w:pPr>
            <w:r>
              <w:rPr>
                <w:rFonts w:ascii="Times New Roman" w:hAnsi="Times New Roman"/>
                <w:b w:val="0"/>
                <w:sz w:val="18"/>
              </w:rPr>
              <w:t>xx.xx [xx.xx, xx.xx]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[xx.xx, xx.xx]</w:t>
            </w:r>
          </w:p>
        </w:tc>
      </w:tr>
      <w:tr>
        <w:tc>
          <w:tcPr>
            <w:tcW w:type="dxa" w:w="2736"/>
          </w:tcPr>
          <w:p>
            <w:pPr>
              <w:spacing w:before="20" w:after="20" w:line="240" w:lineRule="exact"/>
              <w:jc w:val="left"/>
            </w:pPr>
            <w:r>
              <w:rPr>
                <w:rFonts w:ascii="Times New Roman" w:hAnsi="Times New Roman"/>
                <w:b w:val="0"/>
                <w:sz w:val="18"/>
              </w:rPr>
              <w:t>Nausea</w:t>
            </w:r>
          </w:p>
        </w:tc>
        <w:tc>
          <w:tcPr>
            <w:tcW w:type="dxa" w:w="2736"/>
          </w:tcPr>
          <w:p>
            <w:pPr>
              <w:spacing w:before="20" w:after="20" w:line="240" w:lineRule="exact"/>
              <w:jc w:val="center"/>
            </w:pPr>
            <w:r>
              <w:rPr>
                <w:rFonts w:ascii="Times New Roman" w:hAnsi="Times New Roman"/>
                <w:b w:val="0"/>
                <w:sz w:val="18"/>
              </w:rPr>
              <w:t>xx.xx [xx.xx, xx.xx]</w:t>
            </w:r>
          </w:p>
        </w:tc>
        <w:tc>
          <w:tcPr>
            <w:tcW w:type="dxa" w:w="2736"/>
          </w:tcPr>
          <w:p>
            <w:pPr>
              <w:spacing w:before="20" w:after="20" w:line="240" w:lineRule="exact"/>
              <w:jc w:val="center"/>
            </w:pPr>
            <w:r>
              <w:rPr>
                <w:rFonts w:ascii="Times New Roman" w:hAnsi="Times New Roman"/>
                <w:b w:val="0"/>
                <w:sz w:val="18"/>
              </w:rPr>
              <w:t>xx.xx [xx.xx, xx.xx]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[xx.xx, xx.xx]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Abbreviations: TEAE = treatment-emergent adverse event; CI = confidence interval.</w:t>
      </w:r>
    </w:p>
    <w:p>
      <w:pPr>
        <w:spacing w:before="0" w:after="0"/>
      </w:pPr>
      <w:r>
        <w:rPr>
          <w:rFonts w:ascii="Times New Roman" w:hAnsi="Times New Roman"/>
          <w:i/>
          <w:sz w:val="16"/>
        </w:rPr>
        <w:t>[3] Dataset: ADSL, ADAE, ADEX. Program: t_ae_adj_rate.sas.</w:t>
      </w:r>
    </w:p>
    <w:p>
      <w:pPr>
        <w:spacing w:before="0" w:after="0"/>
      </w:pPr>
      <w:r>
        <w:rPr>
          <w:rFonts w:ascii="Times New Roman" w:hAnsi="Times New Roman"/>
          <w:i/>
          <w:sz w:val="16"/>
        </w:rPr>
        <w:t>[4]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14.3.1.13  Infusion-Related Reactions by Preferred Term</w:t>
      </w:r>
      <w:r>
        <w:bookmarkStart w:id="0" w:name="T14.3.1.13"/>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Any Infusion-Related Reaction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Pyrexia</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Chills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L16.2.29</w:t>
      </w:r>
    </w:p>
    <w:p>
      <w:pPr>
        <w:spacing w:before="0" w:after="0"/>
      </w:pPr>
      <w:r>
        <w:rPr>
          <w:rFonts w:ascii="Times New Roman" w:hAnsi="Times New Roman"/>
          <w:i/>
          <w:sz w:val="16"/>
        </w:rPr>
        <w:t>[2] Statistical definitions: Percentages use the stated analysis population within each treatment group unless otherwise specified.</w:t>
      </w:r>
    </w:p>
    <w:p>
      <w:pPr>
        <w:spacing w:before="0" w:after="0"/>
      </w:pPr>
      <w:r>
        <w:rPr>
          <w:rFonts w:ascii="Times New Roman" w:hAnsi="Times New Roman"/>
          <w:i/>
          <w:sz w:val="16"/>
        </w:rPr>
        <w:t>[3] Dataset: ADSL, ADAE, ADEX. Program: t_irr.sas.</w:t>
      </w:r>
    </w:p>
    <w:p>
      <w:pPr>
        <w:spacing w:before="0" w:after="0"/>
      </w:pPr>
      <w:r>
        <w:rPr>
          <w:rFonts w:ascii="Times New Roman" w:hAnsi="Times New Roman"/>
          <w:i/>
          <w:sz w:val="16"/>
        </w:rPr>
        <w:t>[4]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14.3.1.14  Adverse Events of Special Interest (AESI) — Summary</w:t>
      </w:r>
      <w:r>
        <w:bookmarkStart w:id="0" w:name="T14.3.1.14"/>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AESI 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 [E]</w:t>
            </w:r>
          </w:p>
        </w:tc>
      </w:tr>
      <w:tr>
        <w:tc>
          <w:tcPr>
            <w:tcW w:type="dxa" w:w="2736"/>
          </w:tcPr>
          <w:p>
            <w:pPr>
              <w:spacing w:before="120" w:after="20" w:line="240" w:lineRule="exact"/>
              <w:jc w:val="left"/>
            </w:pPr>
            <w:r>
              <w:rPr>
                <w:rFonts w:ascii="Times New Roman" w:hAnsi="Times New Roman"/>
                <w:b/>
                <w:sz w:val="18"/>
              </w:rPr>
              <w:t>Subjects with Any AESI</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120" w:after="20" w:line="240" w:lineRule="exact"/>
              <w:jc w:val="left"/>
            </w:pPr>
            <w:r>
              <w:rPr>
                <w:rFonts w:ascii="Times New Roman" w:hAnsi="Times New Roman"/>
                <w:b/>
                <w:sz w:val="18"/>
              </w:rPr>
              <w:t>AESI Category 1: Infusion-Related Reactions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Grade 1-2</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Grade &gt;=3</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Serious AESIs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Leading to Discontinuation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AESI Category 2: Hepatotoxicity</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ALT/AST &gt;=3xULN + TBL &gt;=2xULN (Hy's Law)</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ALT/AST &gt;=5xULN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ALT/AST &gt;=10xULN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AESI Category 3: Cardiac Events</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QTcF Prolongation &gt;500 ms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Arrhythmia</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Left Ventricular Dysfunction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AESI Category 4: Immunogenicity-Related</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0" w:after="20" w:line="240" w:lineRule="exact"/>
              <w:jc w:val="left"/>
            </w:pPr>
            <w:r>
              <w:rPr>
                <w:rFonts w:ascii="Times New Roman" w:hAnsi="Times New Roman"/>
                <w:b w:val="0"/>
                <w:sz w:val="18"/>
              </w:rPr>
              <w:t xml:space="preserve">      Hypersensitivity / Anaphylaxis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Cytokine Release Syndrome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L16.2.22</w:t>
      </w:r>
    </w:p>
    <w:p>
      <w:pPr>
        <w:spacing w:before="0" w:after="0"/>
      </w:pPr>
      <w:r>
        <w:rPr>
          <w:rFonts w:ascii="Times New Roman" w:hAnsi="Times New Roman"/>
          <w:i/>
          <w:sz w:val="16"/>
        </w:rPr>
        <w:t>[2] AESIs pre-specified in protocol [ref] and SAP [ref]. [E] = number of events.</w:t>
      </w:r>
    </w:p>
    <w:p>
      <w:pPr>
        <w:spacing w:before="0" w:after="0"/>
      </w:pPr>
      <w:r>
        <w:rPr>
          <w:rFonts w:ascii="Times New Roman" w:hAnsi="Times New Roman"/>
          <w:i/>
          <w:sz w:val="16"/>
        </w:rPr>
        <w:t>[3] and used for coding and grading. Groupings based on SMQ/custom MedDRA queries.</w:t>
      </w:r>
    </w:p>
    <w:p>
      <w:pPr>
        <w:spacing w:before="0" w:after="0"/>
      </w:pPr>
      <w:r>
        <w:rPr>
          <w:rFonts w:ascii="Times New Roman" w:hAnsi="Times New Roman"/>
          <w:i/>
          <w:sz w:val="16"/>
        </w:rPr>
        <w:t>[4] Subjects may have events in more than one AESI category.</w:t>
      </w:r>
    </w:p>
    <w:p>
      <w:pPr>
        <w:spacing w:before="0" w:after="0"/>
      </w:pPr>
      <w:r>
        <w:rPr>
          <w:rFonts w:ascii="Times New Roman" w:hAnsi="Times New Roman"/>
          <w:i/>
          <w:sz w:val="16"/>
        </w:rPr>
        <w:t>[5] Abbreviations: AESI = adverse event of special interest; CTCAE = Common Terminology Criteria for Adverse Events; ALT = alanine aminotransferase; AST = aspartate aminotransferase; TBL = total bilirubin; QTcF = QT interval corrected using Fridericia's formula.</w:t>
      </w:r>
    </w:p>
    <w:p>
      <w:pPr>
        <w:spacing w:before="0" w:after="0"/>
      </w:pPr>
      <w:r>
        <w:rPr>
          <w:rFonts w:ascii="Times New Roman" w:hAnsi="Times New Roman"/>
          <w:i/>
          <w:sz w:val="16"/>
        </w:rPr>
        <w:t>[6] Statistical definitions: Percentages use the number of subjects in the Safety Population within each treatment group unless otherwise specified.</w:t>
      </w:r>
    </w:p>
    <w:p>
      <w:pPr>
        <w:spacing w:before="0" w:after="0"/>
      </w:pPr>
      <w:r>
        <w:rPr>
          <w:rFonts w:ascii="Times New Roman" w:hAnsi="Times New Roman"/>
          <w:i/>
          <w:sz w:val="16"/>
        </w:rPr>
        <w:t>[7] Dataset: ADSL, ADAE. Program: t_aesi_summary.sas.</w:t>
      </w:r>
    </w:p>
    <w:p>
      <w:pPr>
        <w:spacing w:before="0" w:after="0"/>
      </w:pPr>
      <w:r>
        <w:rPr>
          <w:rFonts w:ascii="Times New Roman" w:hAnsi="Times New Roman"/>
          <w:i/>
          <w:sz w:val="16"/>
        </w:rPr>
        <w:t>[8]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14.3.1.15  AESI — Time to First Occurrence</w:t>
      </w:r>
      <w:r>
        <w:bookmarkStart w:id="0" w:name="T14.3.1.15"/>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AESI 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Infusion-Related Reactions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Events /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Median Time to First Onset, days (Range)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Hepatotoxicity (ALT/AST &gt;=3xULN)</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Events /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Median Time to First Onset, days (Range)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Cardiac Events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Events /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Median Time to First Onset, days (Range)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L16.2.22</w:t>
      </w:r>
    </w:p>
    <w:p>
      <w:pPr>
        <w:spacing w:before="0" w:after="0"/>
      </w:pPr>
      <w:r>
        <w:rPr>
          <w:rFonts w:ascii="Times New Roman" w:hAnsi="Times New Roman"/>
          <w:i/>
          <w:sz w:val="16"/>
        </w:rPr>
        <w:t>[2] Time calculated from first dose of study drug to first AESI occurrence.</w:t>
      </w:r>
    </w:p>
    <w:p>
      <w:pPr>
        <w:spacing w:before="0" w:after="0"/>
      </w:pPr>
      <w:r>
        <w:rPr>
          <w:rFonts w:ascii="Times New Roman" w:hAnsi="Times New Roman"/>
          <w:i/>
          <w:sz w:val="16"/>
        </w:rPr>
        <w:t>[3] Abbreviations: AESI = adverse event of special interest; ALT = alanine aminotransferase; AST = aspartate aminotransferase.</w:t>
      </w:r>
    </w:p>
    <w:p>
      <w:pPr>
        <w:spacing w:before="0" w:after="0"/>
      </w:pPr>
      <w:r>
        <w:rPr>
          <w:rFonts w:ascii="Times New Roman" w:hAnsi="Times New Roman"/>
          <w:i/>
          <w:sz w:val="16"/>
        </w:rPr>
        <w:t>[4] Statistical definitions: Time origin, event definitions, and censoring rules follow the endpoint specifications in the SAP.</w:t>
      </w:r>
    </w:p>
    <w:p>
      <w:pPr>
        <w:spacing w:before="0" w:after="0"/>
      </w:pPr>
      <w:r>
        <w:rPr>
          <w:rFonts w:ascii="Times New Roman" w:hAnsi="Times New Roman"/>
          <w:i/>
          <w:sz w:val="16"/>
        </w:rPr>
        <w:t>[5] Dataset: ADSL, ADAE. Program: t_aesi_ttf.sas.</w:t>
      </w:r>
    </w:p>
    <w:p>
      <w:pPr>
        <w:spacing w:before="0" w:after="0"/>
      </w:pPr>
      <w:r>
        <w:rPr>
          <w:rFonts w:ascii="Times New Roman" w:hAnsi="Times New Roman"/>
          <w:i/>
          <w:sz w:val="16"/>
        </w:rPr>
        <w:t>[6]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14.3.1.19  Time to Onset of TEAEs by System Organ Class</w:t>
      </w:r>
      <w:r>
        <w:bookmarkStart w:id="0" w:name="T14.3.1.19"/>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 /</w:t>
            </w:r>
          </w:p>
          <w:p>
            <w:pPr>
              <w:spacing w:before="0" w:after="0"/>
              <w:jc w:val="left"/>
            </w:pPr>
            <w:r>
              <w:rPr>
                <w:rFonts w:ascii="Times New Roman" w:hAnsi="Times New Roman"/>
                <w:b/>
                <w:sz w:val="18"/>
              </w:rPr>
              <w:t>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Events, n</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w:t>
            </w:r>
          </w:p>
        </w:tc>
      </w:tr>
      <w:tr>
        <w:tc>
          <w:tcPr>
            <w:tcW w:type="dxa" w:w="2736"/>
          </w:tcPr>
          <w:p>
            <w:pPr>
              <w:spacing w:before="0" w:after="20" w:line="240" w:lineRule="exact"/>
              <w:jc w:val="left"/>
            </w:pPr>
            <w:r>
              <w:rPr>
                <w:rFonts w:ascii="Times New Roman" w:hAnsi="Times New Roman"/>
                <w:b w:val="0"/>
                <w:sz w:val="18"/>
              </w:rPr>
              <w:t xml:space="preserve">      Median Onset, days (Range)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Protocol-Defined Onset Window 1,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Protocol-Defined Onset Window 2,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General disorders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Events, n</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w:t>
            </w:r>
          </w:p>
        </w:tc>
      </w:tr>
      <w:tr>
        <w:tc>
          <w:tcPr>
            <w:tcW w:type="dxa" w:w="2736"/>
          </w:tcPr>
          <w:p>
            <w:pPr>
              <w:spacing w:before="0" w:after="20" w:line="240" w:lineRule="exact"/>
              <w:jc w:val="left"/>
            </w:pPr>
            <w:r>
              <w:rPr>
                <w:rFonts w:ascii="Times New Roman" w:hAnsi="Times New Roman"/>
                <w:b w:val="0"/>
                <w:sz w:val="18"/>
              </w:rPr>
              <w:t xml:space="preserve">      Median Onset, days (Range)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Time to onset = date of first occurrence of a TEAE within SOC minus date of first dose plus 1.</w:t>
      </w:r>
    </w:p>
    <w:p>
      <w:pPr>
        <w:spacing w:before="0" w:after="0"/>
      </w:pPr>
      <w:r>
        <w:rPr>
          <w:rFonts w:ascii="Times New Roman" w:hAnsi="Times New Roman"/>
          <w:i/>
          <w:sz w:val="16"/>
        </w:rPr>
        <w:t>[3] Onset windows must be defined in the protocol or SAP before programming.</w:t>
      </w:r>
    </w:p>
    <w:p>
      <w:pPr>
        <w:spacing w:before="0" w:after="0"/>
      </w:pPr>
      <w:r>
        <w:rPr>
          <w:rFonts w:ascii="Times New Roman" w:hAnsi="Times New Roman"/>
          <w:i/>
          <w:sz w:val="16"/>
        </w:rPr>
        <w:t>[4] Abbreviations: TEAE = treatment-emergent adverse event; SOC = system organ class.</w:t>
      </w:r>
    </w:p>
    <w:p>
      <w:pPr>
        <w:spacing w:before="0" w:after="0"/>
      </w:pPr>
      <w:r>
        <w:rPr>
          <w:rFonts w:ascii="Times New Roman" w:hAnsi="Times New Roman"/>
          <w:i/>
          <w:sz w:val="16"/>
        </w:rPr>
        <w:t>[5] Statistical definitions: Percentages use the number of subjects in the Safety Population within each treatment group unless otherwise specified. Time origin, event definitions, and censoring rules follow the endpoint specifications in the SAP.</w:t>
      </w:r>
    </w:p>
    <w:p>
      <w:pPr>
        <w:spacing w:before="0" w:after="0"/>
      </w:pPr>
      <w:r>
        <w:rPr>
          <w:rFonts w:ascii="Times New Roman" w:hAnsi="Times New Roman"/>
          <w:i/>
          <w:sz w:val="16"/>
        </w:rPr>
        <w:t>[6] Dataset: ADSL, ADAE. Program: t_ae_time_onset.sas.</w:t>
      </w:r>
    </w:p>
    <w:p>
      <w:pPr>
        <w:spacing w:before="0" w:after="0"/>
      </w:pPr>
      <w:r>
        <w:rPr>
          <w:rFonts w:ascii="Times New Roman" w:hAnsi="Times New Roman"/>
          <w:i/>
          <w:sz w:val="16"/>
        </w:rPr>
        <w:t>[7]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14.3.1.20  Duration of TEAEs by System Organ Class</w:t>
      </w:r>
      <w:r>
        <w:bookmarkStart w:id="0" w:name="T14.3.1.20"/>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 /</w:t>
            </w:r>
          </w:p>
          <w:p>
            <w:pPr>
              <w:spacing w:before="0" w:after="0"/>
              <w:jc w:val="left"/>
            </w:pPr>
            <w:r>
              <w:rPr>
                <w:rFonts w:ascii="Times New Roman" w:hAnsi="Times New Roman"/>
                <w:b/>
                <w:sz w:val="18"/>
              </w:rPr>
              <w:t>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Events, n</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w:t>
            </w:r>
          </w:p>
        </w:tc>
      </w:tr>
      <w:tr>
        <w:tc>
          <w:tcPr>
            <w:tcW w:type="dxa" w:w="2736"/>
          </w:tcPr>
          <w:p>
            <w:pPr>
              <w:spacing w:before="0" w:after="20" w:line="240" w:lineRule="exact"/>
              <w:jc w:val="left"/>
            </w:pPr>
            <w:r>
              <w:rPr>
                <w:rFonts w:ascii="Times New Roman" w:hAnsi="Times New Roman"/>
                <w:b w:val="0"/>
                <w:sz w:val="18"/>
              </w:rPr>
              <w:t xml:space="preserve">      Median Duration, days (Range)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Protocol-Defined Duration Window 1,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Protocol-Defined Duration Window 2, n (%)</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General disorders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Events, n</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w:t>
            </w:r>
          </w:p>
        </w:tc>
      </w:tr>
      <w:tr>
        <w:tc>
          <w:tcPr>
            <w:tcW w:type="dxa" w:w="2736"/>
          </w:tcPr>
          <w:p>
            <w:pPr>
              <w:spacing w:before="0" w:after="20" w:line="240" w:lineRule="exact"/>
              <w:jc w:val="left"/>
            </w:pPr>
            <w:r>
              <w:rPr>
                <w:rFonts w:ascii="Times New Roman" w:hAnsi="Times New Roman"/>
                <w:b w:val="0"/>
                <w:sz w:val="18"/>
              </w:rPr>
              <w:t xml:space="preserve">      Median Duration, days (Range)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Duration = (end date − start date + 1) for each event. Unresolved events censored at data cutoff.</w:t>
      </w:r>
    </w:p>
    <w:p>
      <w:pPr>
        <w:spacing w:before="0" w:after="0"/>
      </w:pPr>
      <w:r>
        <w:rPr>
          <w:rFonts w:ascii="Times New Roman" w:hAnsi="Times New Roman"/>
          <w:i/>
          <w:sz w:val="16"/>
        </w:rPr>
        <w:t>[3] Duration windows must be defined in the protocol or SAP before programming.</w:t>
      </w:r>
    </w:p>
    <w:p>
      <w:pPr>
        <w:spacing w:before="0" w:after="0"/>
      </w:pPr>
      <w:r>
        <w:rPr>
          <w:rFonts w:ascii="Times New Roman" w:hAnsi="Times New Roman"/>
          <w:i/>
          <w:sz w:val="16"/>
        </w:rPr>
        <w:t>[4] Abbreviations: TEAE = treatment-emergent adverse event.</w:t>
      </w:r>
    </w:p>
    <w:p>
      <w:pPr>
        <w:spacing w:before="0" w:after="0"/>
      </w:pPr>
      <w:r>
        <w:rPr>
          <w:rFonts w:ascii="Times New Roman" w:hAnsi="Times New Roman"/>
          <w:i/>
          <w:sz w:val="16"/>
        </w:rPr>
        <w:t>[5] Statistical definitions: Percentages use the number of subjects in the Safety Population within each treatment group unless otherwise specified.</w:t>
      </w:r>
    </w:p>
    <w:p>
      <w:pPr>
        <w:spacing w:before="0" w:after="0"/>
      </w:pPr>
      <w:r>
        <w:rPr>
          <w:rFonts w:ascii="Times New Roman" w:hAnsi="Times New Roman"/>
          <w:i/>
          <w:sz w:val="16"/>
        </w:rPr>
        <w:t>[6] Dataset: ADSL, ADAE. Program: t_ae_duration.sas.</w:t>
      </w:r>
    </w:p>
    <w:p>
      <w:pPr>
        <w:spacing w:before="0" w:after="0"/>
      </w:pPr>
      <w:r>
        <w:rPr>
          <w:rFonts w:ascii="Times New Roman" w:hAnsi="Times New Roman"/>
          <w:i/>
          <w:sz w:val="16"/>
        </w:rPr>
        <w:t>[7]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14.3.1.23  Adverse Events — Summary of Multiple Occurrences per Subject</w:t>
      </w:r>
      <w:r>
        <w:bookmarkStart w:id="0" w:name="T14.3.1.23"/>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Number of TEAEs</w:t>
            </w:r>
          </w:p>
          <w:p>
            <w:pPr>
              <w:spacing w:before="0" w:after="0"/>
              <w:jc w:val="left"/>
            </w:pPr>
            <w:r>
              <w:rPr>
                <w:rFonts w:ascii="Times New Roman" w:hAnsi="Times New Roman"/>
                <w:b/>
                <w:sz w:val="18"/>
              </w:rPr>
              <w:t>per Subject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Subjects with &gt;=1 TEAE</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1 Event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2 Events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3 Events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4 Events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&gt;=5 Events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Total number of TEAEs [E]</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120" w:after="20" w:line="240" w:lineRule="exact"/>
              <w:jc w:val="left"/>
            </w:pPr>
            <w:r>
              <w:rPr>
                <w:rFonts w:ascii="Times New Roman" w:hAnsi="Times New Roman"/>
                <w:b/>
                <w:sz w:val="18"/>
              </w:rPr>
              <w:t>Subjects with &gt;=1 Grade &gt;=3 TEAE</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1 Event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2 Events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&gt;=3 Events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Percentage denominator = number of subjects in the Safety Population per arm. [E] = total event count.</w:t>
      </w:r>
    </w:p>
    <w:p>
      <w:pPr>
        <w:spacing w:before="0" w:after="0"/>
      </w:pPr>
      <w:r>
        <w:rPr>
          <w:rFonts w:ascii="Times New Roman" w:hAnsi="Times New Roman"/>
          <w:i/>
          <w:sz w:val="16"/>
        </w:rPr>
        <w:t>[3] Abbreviations: TEAE = treatment-emergent adverse event; CTCAE = Common Terminology Criteria for Adverse Events.</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t_ae_mult_occ.sas.</w:t>
      </w:r>
    </w:p>
    <w:p>
      <w:pPr>
        <w:spacing w:before="0" w:after="0"/>
      </w:pPr>
      <w:r>
        <w:rPr>
          <w:rFonts w:ascii="Times New Roman" w:hAnsi="Times New Roman"/>
          <w:i/>
          <w:sz w:val="16"/>
        </w:rPr>
        <w:t>[6]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14.3.1.24  Immune-Related Adverse Events (irAEs) by Preferred Term</w:t>
      </w:r>
      <w:r>
        <w:bookmarkStart w:id="0" w:name="T14.3.1.24"/>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Any irAE</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20" w:after="20" w:line="240" w:lineRule="exact"/>
              <w:jc w:val="left"/>
            </w:pPr>
            <w:r>
              <w:rPr>
                <w:rFonts w:ascii="Times New Roman" w:hAnsi="Times New Roman"/>
                <w:b w:val="0"/>
                <w:sz w:val="18"/>
              </w:rPr>
              <w:t>Pneumonitis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Colitis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Hepatitis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Dermatitis / Rash</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Thyroiditis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Nephritis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irAEs per protocol-defined list (MedDRA SMQ). Confirmed by adjudication.</w:t>
      </w:r>
    </w:p>
    <w:p>
      <w:pPr>
        <w:spacing w:before="0" w:after="0"/>
      </w:pPr>
      <w:r>
        <w:rPr>
          <w:rFonts w:ascii="Times New Roman" w:hAnsi="Times New Roman"/>
          <w:i/>
          <w:sz w:val="16"/>
        </w:rPr>
        <w:t>[3] Abbreviations: CTCAE = Common Terminology Criteria for Adverse Events.</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t_irae_pt.sas.</w:t>
      </w:r>
    </w:p>
    <w:p>
      <w:pPr>
        <w:spacing w:before="0" w:after="0"/>
      </w:pPr>
      <w:r>
        <w:rPr>
          <w:rFonts w:ascii="Times New Roman" w:hAnsi="Times New Roman"/>
          <w:i/>
          <w:sz w:val="16"/>
        </w:rPr>
        <w:t>[6]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14.3.1.25  Infusion-Related Reactions — Onset Timing, Maximum Grade, and Management</w:t>
      </w:r>
      <w:r>
        <w:bookmarkStart w:id="0" w:name="T14.3.1.25"/>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IRR Characteristic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Subjects with Any IRR</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120" w:after="20" w:line="240" w:lineRule="exact"/>
              <w:jc w:val="left"/>
            </w:pPr>
            <w:r>
              <w:rPr>
                <w:rFonts w:ascii="Times New Roman" w:hAnsi="Times New Roman"/>
                <w:b/>
                <w:sz w:val="18"/>
              </w:rPr>
              <w:t>Maximum CTCAE Grade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Grade 1</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Grade 2</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Grade &gt;=3</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Onset Timing</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First infusion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Subsequent infusions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Management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Infusion rate slowed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Infusion interrupted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Prophylaxis before subsequent infusions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L16.2.29</w:t>
      </w:r>
    </w:p>
    <w:p>
      <w:pPr>
        <w:spacing w:before="0" w:after="0"/>
      </w:pPr>
      <w:r>
        <w:rPr>
          <w:rFonts w:ascii="Times New Roman" w:hAnsi="Times New Roman"/>
          <w:i/>
          <w:sz w:val="16"/>
        </w:rPr>
        <w:t>[2] IRR = any AE during or within 24h of infusion start.</w:t>
      </w:r>
    </w:p>
    <w:p>
      <w:pPr>
        <w:spacing w:before="0" w:after="0"/>
      </w:pPr>
      <w:r>
        <w:rPr>
          <w:rFonts w:ascii="Times New Roman" w:hAnsi="Times New Roman"/>
          <w:i/>
          <w:sz w:val="16"/>
        </w:rPr>
        <w:t>[3] Abbreviations: AE = adverse event; CTCAE = Common Terminology Criteria for Adverse Events; IRR = infusion-related reaction.</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ADEX. Program: t_irr_detail.sas.</w:t>
      </w:r>
    </w:p>
    <w:p>
      <w:pPr>
        <w:spacing w:before="0" w:after="0"/>
      </w:pPr>
      <w:r>
        <w:rPr>
          <w:rFonts w:ascii="Times New Roman" w:hAnsi="Times New Roman"/>
          <w:i/>
          <w:sz w:val="16"/>
        </w:rPr>
        <w:t>[6]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14.3.1.26  TEAE Outcomes by System Organ Class</w:t>
      </w:r>
      <w:r>
        <w:bookmarkStart w:id="0" w:name="T14.3.1.26"/>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 /</w:t>
            </w:r>
          </w:p>
          <w:p>
            <w:pPr>
              <w:spacing w:before="0" w:after="0"/>
              <w:jc w:val="left"/>
            </w:pPr>
            <w:r>
              <w:rPr>
                <w:rFonts w:ascii="Times New Roman" w:hAnsi="Times New Roman"/>
                <w:b/>
                <w:sz w:val="18"/>
              </w:rPr>
              <w:t>Outcome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Recovered / Resolved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Recovering / Resolving</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Not Recovered / Not Resolved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Fatal</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Unknown</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General disorders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Recovered / Resolved</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Outcome at last follow-up. Recovered = resolved no sequelae.</w:t>
      </w:r>
    </w:p>
    <w:p>
      <w:pPr>
        <w:spacing w:before="0" w:after="0"/>
      </w:pPr>
      <w:r>
        <w:rPr>
          <w:rFonts w:ascii="Times New Roman" w:hAnsi="Times New Roman"/>
          <w:i/>
          <w:sz w:val="16"/>
        </w:rPr>
        <w:t>[3] Abbreviations: TEAE = treatment-emergent adverse event.</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t_ae_outcome.sas.</w:t>
      </w:r>
    </w:p>
    <w:p>
      <w:pPr>
        <w:spacing w:before="0" w:after="0"/>
      </w:pPr>
      <w:r>
        <w:rPr>
          <w:rFonts w:ascii="Times New Roman" w:hAnsi="Times New Roman"/>
          <w:i/>
          <w:sz w:val="16"/>
        </w:rPr>
        <w:t>[6]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14.3.1.27  Late-Onset TEAEs by SOC and PT</w:t>
      </w:r>
      <w:r>
        <w:bookmarkStart w:id="0" w:name="T14.3.1.27"/>
        <w:bookmarkEnd w:id="0"/>
      </w:r>
    </w:p>
    <w:p>
      <w:pPr>
        <w:keepNext/>
        <w:spacing w:before="40" w:after="160"/>
      </w:pPr>
      <w:r>
        <w:rPr>
          <w:rFonts w:ascii="Times New Roman" w:hAnsi="Times New Roman"/>
          <w:i/>
          <w:sz w:val="18"/>
        </w:rPr>
        <w:t>Analysis Set: Safety Population Evaluable for Protocol-Defined Late-Onset TEAEs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w:t>
            </w:r>
          </w:p>
          <w:p>
            <w:pPr>
              <w:spacing w:before="0" w:after="0"/>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Any Late-Onset TEAE</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120" w:after="20" w:line="240" w:lineRule="exact"/>
              <w:jc w:val="left"/>
            </w:pPr>
            <w:r>
              <w:rPr>
                <w:rFonts w:ascii="Times New Roman" w:hAnsi="Times New Roman"/>
                <w:b/>
                <w:sz w:val="18"/>
              </w:rPr>
              <w:t>Blood and lymphatic system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Anaemia</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Neutropenia</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Skin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Rash</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Late-onset window and the evaluable denominator must be defined in the protocol or SAP before programming.</w:t>
      </w:r>
    </w:p>
    <w:p>
      <w:pPr>
        <w:spacing w:before="0" w:after="0"/>
      </w:pPr>
      <w:r>
        <w:rPr>
          <w:rFonts w:ascii="Times New Roman" w:hAnsi="Times New Roman"/>
          <w:i/>
          <w:sz w:val="16"/>
        </w:rPr>
        <w:t>[3] Abbreviations: TEAE = treatment-emergent adverse event; SOC = system organ class; PT = preferred term.</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t_ae_late.sas.</w:t>
      </w:r>
    </w:p>
    <w:p>
      <w:pPr>
        <w:spacing w:before="0" w:after="0"/>
      </w:pPr>
      <w:r>
        <w:rPr>
          <w:rFonts w:ascii="Times New Roman" w:hAnsi="Times New Roman"/>
          <w:i/>
          <w:sz w:val="16"/>
        </w:rPr>
        <w:t>[6]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14.3.1.28  TEAEs by Post-Baseline Time Window — Onset Distribution</w:t>
      </w:r>
      <w:r>
        <w:bookmarkStart w:id="0" w:name="T14.3.1.28"/>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Time Window</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 [E]</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 [E]</w:t>
            </w:r>
          </w:p>
        </w:tc>
      </w:tr>
      <w:tr>
        <w:tc>
          <w:tcPr>
            <w:tcW w:type="dxa" w:w="2736"/>
          </w:tcPr>
          <w:p>
            <w:pPr>
              <w:spacing w:before="120" w:after="20" w:line="240" w:lineRule="exact"/>
              <w:jc w:val="left"/>
            </w:pPr>
            <w:r>
              <w:rPr>
                <w:rFonts w:ascii="Times New Roman" w:hAnsi="Times New Roman"/>
                <w:b/>
                <w:sz w:val="18"/>
              </w:rPr>
              <w:t>Protocol-Defined Onset Window 1</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120" w:after="20" w:line="240" w:lineRule="exact"/>
              <w:jc w:val="left"/>
            </w:pPr>
            <w:r>
              <w:rPr>
                <w:rFonts w:ascii="Times New Roman" w:hAnsi="Times New Roman"/>
                <w:b/>
                <w:sz w:val="18"/>
              </w:rPr>
              <w:t>Protocol-Defined Onset Window 2</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120" w:after="20" w:line="240" w:lineRule="exact"/>
              <w:jc w:val="left"/>
            </w:pPr>
            <w:r>
              <w:rPr>
                <w:rFonts w:ascii="Times New Roman" w:hAnsi="Times New Roman"/>
                <w:b/>
                <w:sz w:val="18"/>
              </w:rPr>
              <w:t>Protocol-Defined Onset Window 3</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120" w:after="20" w:line="240" w:lineRule="exact"/>
              <w:jc w:val="left"/>
            </w:pPr>
            <w:r>
              <w:rPr>
                <w:rFonts w:ascii="Times New Roman" w:hAnsi="Times New Roman"/>
                <w:b/>
                <w:sz w:val="18"/>
              </w:rPr>
              <w:t>Additional Protocol-Defined Window</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120" w:after="20" w:line="240" w:lineRule="exact"/>
              <w:jc w:val="left"/>
            </w:pPr>
            <w:r>
              <w:rPr>
                <w:rFonts w:ascii="Times New Roman" w:hAnsi="Times New Roman"/>
                <w:b/>
                <w:sz w:val="18"/>
              </w:rPr>
              <w:t>Protocol-Defined Follow-up Period</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xx (xx.x) [xx]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 [xx]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Events are assigned to mutually exclusive protocol-defined windows by onset date. [E] = total events.</w:t>
      </w:r>
    </w:p>
    <w:p>
      <w:pPr>
        <w:spacing w:before="0" w:after="0"/>
      </w:pPr>
      <w:r>
        <w:rPr>
          <w:rFonts w:ascii="Times New Roman" w:hAnsi="Times New Roman"/>
          <w:i/>
          <w:sz w:val="16"/>
        </w:rPr>
        <w:t>[3] Abbreviations: TEAE = treatment-emergent adverse event.</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t_ae_timewindow.sas.</w:t>
      </w:r>
    </w:p>
    <w:p>
      <w:pPr>
        <w:spacing w:before="0" w:after="0"/>
      </w:pPr>
      <w:r>
        <w:rPr>
          <w:rFonts w:ascii="Times New Roman" w:hAnsi="Times New Roman"/>
          <w:i/>
          <w:sz w:val="16"/>
        </w:rPr>
        <w:t>[6]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14.3.1.31  Adverse Events During the Protocol-Defined Follow-up Period</w:t>
      </w:r>
      <w:r>
        <w:bookmarkStart w:id="0" w:name="T14.3.1.31"/>
        <w:bookmarkEnd w:id="0"/>
      </w:r>
    </w:p>
    <w:p>
      <w:pPr>
        <w:keepNext/>
        <w:spacing w:before="40" w:after="160"/>
      </w:pPr>
      <w:r>
        <w:rPr>
          <w:rFonts w:ascii="Times New Roman" w:hAnsi="Times New Roman"/>
          <w:i/>
          <w:sz w:val="18"/>
        </w:rPr>
        <w:t>Analysis Set: Safety Population with Follow-up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System Organ Class</w:t>
            </w:r>
          </w:p>
          <w:p>
            <w:pPr>
              <w:spacing w:before="0" w:after="0"/>
              <w:jc w:val="left"/>
            </w:pPr>
            <w:r>
              <w:rPr>
                <w:rFonts w:ascii="Times New Roman" w:hAnsi="Times New Roman"/>
                <w:b/>
                <w:sz w:val="18"/>
              </w:rPr>
              <w:t>Preferred Term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Any AE During Follow-up</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120" w:after="20" w:line="240" w:lineRule="exact"/>
              <w:jc w:val="left"/>
            </w:pPr>
            <w:r>
              <w:rPr>
                <w:rFonts w:ascii="Times New Roman" w:hAnsi="Times New Roman"/>
                <w:b/>
                <w:sz w:val="18"/>
              </w:rPr>
              <w:t>Blood and lymphatic system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Anaemia</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Gastrointestinal disorders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120" w:after="20" w:line="240" w:lineRule="exact"/>
              <w:jc w:val="left"/>
            </w:pPr>
            <w:r>
              <w:rPr>
                <w:rFonts w:ascii="Times New Roman" w:hAnsi="Times New Roman"/>
                <w:b/>
                <w:sz w:val="18"/>
              </w:rPr>
              <w:t>Neoplasms benign, malignant</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L16.2.4</w:t>
      </w:r>
    </w:p>
    <w:p>
      <w:pPr>
        <w:spacing w:before="0" w:after="0"/>
      </w:pPr>
      <w:r>
        <w:rPr>
          <w:rFonts w:ascii="Times New Roman" w:hAnsi="Times New Roman"/>
          <w:i/>
          <w:sz w:val="16"/>
        </w:rPr>
        <w:t>[2] Follow-up start, end, and event inclusion rules must be defined in the protocol or SAP before programming.</w:t>
      </w:r>
    </w:p>
    <w:p>
      <w:pPr>
        <w:spacing w:before="0" w:after="0"/>
      </w:pPr>
      <w:r>
        <w:rPr>
          <w:rFonts w:ascii="Times New Roman" w:hAnsi="Times New Roman"/>
          <w:i/>
          <w:sz w:val="16"/>
        </w:rPr>
        <w:t>[3] Abbreviations: AE = adverse event.</w:t>
      </w:r>
    </w:p>
    <w:p>
      <w:pPr>
        <w:spacing w:before="0" w:after="0"/>
      </w:pPr>
      <w:r>
        <w:rPr>
          <w:rFonts w:ascii="Times New Roman" w:hAnsi="Times New Roman"/>
          <w:i/>
          <w:sz w:val="16"/>
        </w:rPr>
        <w:t>[4] Statistical definitions: Percentages use the number of subjects in the Safety Population within each treatment group unless otherwise specified.</w:t>
      </w:r>
    </w:p>
    <w:p>
      <w:pPr>
        <w:spacing w:before="0" w:after="0"/>
      </w:pPr>
      <w:r>
        <w:rPr>
          <w:rFonts w:ascii="Times New Roman" w:hAnsi="Times New Roman"/>
          <w:i/>
          <w:sz w:val="16"/>
        </w:rPr>
        <w:t>[5] Dataset: ADSL, ADAE. Program: t_ae_followup.sas.</w:t>
      </w:r>
    </w:p>
    <w:p>
      <w:pPr>
        <w:spacing w:before="0" w:after="0"/>
      </w:pPr>
      <w:r>
        <w:rPr>
          <w:rFonts w:ascii="Times New Roman" w:hAnsi="Times New Roman"/>
          <w:i/>
          <w:sz w:val="16"/>
        </w:rPr>
        <w:t>[6] Coding: Adverse event terms were coded using MedDRA v[xx.x].</w:t>
      </w:r>
      <w:r>
        <w:br w:type="page"/>
      </w:r>
    </w:p>
    <w:p>
      <w:pPr>
        <w:pStyle w:val="Heading3"/>
        <w:spacing w:before="120" w:after="80"/>
      </w:pPr>
      <w:r>
        <w:rPr>
          <w:rFonts w:ascii="Times New Roman" w:hAnsi="Times New Roman"/>
          <w:b/>
          <w:color w:val="003366"/>
          <w:sz w:val="22"/>
        </w:rPr>
        <w:t>14.3.2  Other Safety Observations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14.3.2.1  Summary of Deaths</w:t>
      </w:r>
      <w:r>
        <w:bookmarkStart w:id="0" w:name="T14.3.2.1"/>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120" w:after="20" w:line="240" w:lineRule="exact"/>
              <w:jc w:val="left"/>
            </w:pPr>
            <w:r>
              <w:rPr>
                <w:rFonts w:ascii="Times New Roman" w:hAnsi="Times New Roman"/>
                <w:b/>
                <w:sz w:val="18"/>
              </w:rPr>
              <w:t>Total Deaths</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0" w:after="20" w:line="240" w:lineRule="exact"/>
              <w:jc w:val="left"/>
            </w:pPr>
            <w:r>
              <w:rPr>
                <w:rFonts w:ascii="Times New Roman" w:hAnsi="Times New Roman"/>
                <w:b w:val="0"/>
                <w:sz w:val="18"/>
              </w:rPr>
              <w:t xml:space="preserve">      Due to Adverse Event</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Due to Progressive Disease</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Due to Other Causes</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On-treatment Deaths (&lt;=30 days of last dose)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Post-treatment Deaths (&gt;30 days of last dose)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L16.2.20</w:t>
      </w:r>
    </w:p>
    <w:p>
      <w:pPr>
        <w:spacing w:before="0" w:after="0"/>
      </w:pPr>
      <w:r>
        <w:rPr>
          <w:rFonts w:ascii="Times New Roman" w:hAnsi="Times New Roman"/>
          <w:i/>
          <w:sz w:val="16"/>
        </w:rPr>
        <w:t>[2] Statistical definitions: Percentages use the stated analysis population within each treatment group unless otherwise specified.</w:t>
      </w:r>
    </w:p>
    <w:p>
      <w:pPr>
        <w:spacing w:before="0" w:after="0"/>
      </w:pPr>
      <w:r>
        <w:rPr>
          <w:rFonts w:ascii="Times New Roman" w:hAnsi="Times New Roman"/>
          <w:i/>
          <w:sz w:val="16"/>
        </w:rPr>
        <w:t>[3] Dataset: ADSL, ADAE, ADTTE. Program: t_deaths.sas.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14.3.2.2  Summary of Subjects Meeting Potential Hy's Law Laboratory Criteria</w:t>
      </w:r>
      <w:r>
        <w:bookmarkStart w:id="0" w:name="T14.3.2.2"/>
        <w:bookmarkEnd w:id="0"/>
      </w:r>
    </w:p>
    <w:p>
      <w:pPr>
        <w:keepNext/>
        <w:spacing w:before="40" w:after="160"/>
      </w:pPr>
      <w:r>
        <w:rPr>
          <w:rFonts w:ascii="Times New Roman" w:hAnsi="Times New Roman"/>
          <w:i/>
          <w:sz w:val="18"/>
        </w:rPr>
        <w:t>Analysis Set: Safety Population with Baseline and Post-Baseline Labs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ALT or AST &gt;=3xULN and TBL &gt;=2xULN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ALP &lt;2xULN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No identified alternative etiology</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Potential Hy's Law laboratory criteria met</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L16.2.23</w:t>
      </w:r>
    </w:p>
    <w:p>
      <w:pPr>
        <w:spacing w:before="0" w:after="0"/>
      </w:pPr>
      <w:r>
        <w:rPr>
          <w:rFonts w:ascii="Times New Roman" w:hAnsi="Times New Roman"/>
          <w:i/>
          <w:sz w:val="16"/>
        </w:rPr>
        <w:t>[2] Hy's Law: ALT/AST &gt;=3xULN, TBL &gt;=2xULN, ALP &lt;2xULN, no alternative etiology.</w:t>
      </w:r>
    </w:p>
    <w:p>
      <w:pPr>
        <w:spacing w:before="0" w:after="0"/>
      </w:pPr>
      <w:r>
        <w:rPr>
          <w:rFonts w:ascii="Times New Roman" w:hAnsi="Times New Roman"/>
          <w:i/>
          <w:sz w:val="16"/>
        </w:rPr>
        <w:t>[3] Abbreviations: ALT = alanine aminotransferase; AST = aspartate aminotransferase; ALP = alkaline phosphatase; TBL = total bilirubin.</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ADLB. Program: t_hys_law.sas.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14.3.2.3  ECOG Performance Status Shift Table</w:t>
      </w:r>
      <w:r>
        <w:bookmarkStart w:id="0" w:name="T14.3.2.3"/>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Baseline</w:t>
            </w:r>
          </w:p>
          <w:p>
            <w:pPr>
              <w:spacing w:before="0" w:after="0"/>
              <w:jc w:val="left"/>
            </w:pPr>
            <w:r>
              <w:rPr>
                <w:rFonts w:ascii="Times New Roman" w:hAnsi="Times New Roman"/>
                <w:b/>
                <w:sz w:val="18"/>
              </w:rPr>
              <w:t>ECOG</w:t>
            </w:r>
          </w:p>
        </w:tc>
        <w:tc>
          <w:tcPr>
            <w:tcW w:type="dxa" w:w="2280"/>
            <w:shd w:fill="F2F2F2" w:val="clear"/>
            <w:tcBorders>
              <w:bottom w:val="single" w:sz="4" w:space="0" w:color="000000"/>
            </w:tcBorders>
          </w:tcPr>
          <w:p>
            <w:pPr>
              <w:spacing w:before="0" w:after="0"/>
              <w:jc w:val="center"/>
            </w:pPr>
            <w:r>
              <w:rPr>
                <w:rFonts w:ascii="Times New Roman" w:hAnsi="Times New Roman"/>
                <w:b/>
                <w:sz w:val="18"/>
              </w:rPr>
              <w:t>Worst Post-BL</w:t>
            </w:r>
          </w:p>
          <w:p>
            <w:pPr>
              <w:spacing w:before="0" w:after="0"/>
              <w:jc w:val="center"/>
            </w:pPr>
            <w:r>
              <w:rPr>
                <w:rFonts w:ascii="Times New Roman" w:hAnsi="Times New Roman"/>
                <w:b/>
                <w:sz w:val="18"/>
              </w:rPr>
              <w:t>ECOG</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280"/>
          </w:tcPr>
          <w:p>
            <w:pPr>
              <w:spacing w:before="20" w:after="20" w:line="240" w:lineRule="exact"/>
              <w:jc w:val="left"/>
            </w:pPr>
            <w:r>
              <w:rPr>
                <w:rFonts w:ascii="Times New Roman" w:hAnsi="Times New Roman"/>
                <w:b w:val="0"/>
                <w:sz w:val="18"/>
              </w:rPr>
              <w:t>0</w:t>
            </w:r>
          </w:p>
        </w:tc>
        <w:tc>
          <w:tcPr>
            <w:tcW w:type="dxa" w:w="2280"/>
          </w:tcPr>
          <w:p>
            <w:pPr>
              <w:spacing w:before="20" w:after="20" w:line="240" w:lineRule="exact"/>
              <w:jc w:val="center"/>
            </w:pPr>
            <w:r>
              <w:rPr>
                <w:rFonts w:ascii="Times New Roman" w:hAnsi="Times New Roman"/>
                <w:b w:val="0"/>
                <w:sz w:val="18"/>
              </w:rPr>
              <w:t>0</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0</w:t>
            </w:r>
          </w:p>
        </w:tc>
        <w:tc>
          <w:tcPr>
            <w:tcW w:type="dxa" w:w="2280"/>
          </w:tcPr>
          <w:p>
            <w:pPr>
              <w:spacing w:before="20" w:after="20" w:line="240" w:lineRule="exact"/>
              <w:jc w:val="center"/>
            </w:pPr>
            <w:r>
              <w:rPr>
                <w:rFonts w:ascii="Times New Roman" w:hAnsi="Times New Roman"/>
                <w:b w:val="0"/>
                <w:sz w:val="18"/>
              </w:rPr>
              <w:t>1</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0</w:t>
            </w:r>
          </w:p>
        </w:tc>
        <w:tc>
          <w:tcPr>
            <w:tcW w:type="dxa" w:w="2280"/>
          </w:tcPr>
          <w:p>
            <w:pPr>
              <w:spacing w:before="20" w:after="20" w:line="240" w:lineRule="exact"/>
              <w:jc w:val="center"/>
            </w:pPr>
            <w:r>
              <w:rPr>
                <w:rFonts w:ascii="Times New Roman" w:hAnsi="Times New Roman"/>
                <w:b w:val="0"/>
                <w:sz w:val="18"/>
              </w:rPr>
              <w:t>&gt;=2</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1</w:t>
            </w:r>
          </w:p>
        </w:tc>
        <w:tc>
          <w:tcPr>
            <w:tcW w:type="dxa" w:w="2280"/>
          </w:tcPr>
          <w:p>
            <w:pPr>
              <w:spacing w:before="20" w:after="20" w:line="240" w:lineRule="exact"/>
              <w:jc w:val="center"/>
            </w:pPr>
            <w:r>
              <w:rPr>
                <w:rFonts w:ascii="Times New Roman" w:hAnsi="Times New Roman"/>
                <w:b w:val="0"/>
                <w:sz w:val="18"/>
              </w:rPr>
              <w:t>1</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L16.2.13</w:t>
      </w:r>
    </w:p>
    <w:p>
      <w:pPr>
        <w:spacing w:before="0" w:after="0"/>
      </w:pPr>
      <w:r>
        <w:rPr>
          <w:rFonts w:ascii="Times New Roman" w:hAnsi="Times New Roman"/>
          <w:i/>
          <w:sz w:val="16"/>
        </w:rPr>
        <w:t>[2] Abbreviations: BL = baseline; ECOG = Eastern Cooperative Oncology Group.</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ADSL, ADQS. Program: t_ecog_shift.sas.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14.3.2.4  Summary of Peak Liver Chemistry Threshold Categories</w:t>
      </w:r>
      <w:r>
        <w:bookmarkStart w:id="0" w:name="T14.3.2.4"/>
        <w:bookmarkEnd w:id="0"/>
      </w:r>
    </w:p>
    <w:p>
      <w:pPr>
        <w:keepNext/>
        <w:spacing w:before="40" w:after="160"/>
      </w:pPr>
      <w:r>
        <w:rPr>
          <w:rFonts w:ascii="Times New Roman" w:hAnsi="Times New Roman"/>
          <w:i/>
          <w:sz w:val="18"/>
        </w:rPr>
        <w:t>Analysis Set: Safety Population with Baseline and &gt;=1 Post-Baseline Labs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Peak ALT or AST &gt;=3xULN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Peak TBL &gt;=2xULN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Peak ALP &gt;=2xULN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Concurrent ALT/AST and TBL thresholds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Hy's Law: ALT/AST &gt;=3xULN + TBL &gt;=2xULN + ALP &lt;2xULN + no alternative etiology. Listing: L16.2.23.</w:t>
      </w:r>
    </w:p>
    <w:p>
      <w:pPr>
        <w:spacing w:before="0" w:after="0"/>
      </w:pPr>
      <w:r>
        <w:rPr>
          <w:rFonts w:ascii="Times New Roman" w:hAnsi="Times New Roman"/>
          <w:i/>
          <w:sz w:val="16"/>
        </w:rPr>
        <w:t>[3] Abbreviations: ALT = alanine aminotransferase; AST = aspartate aminotransferase; ALP = alkaline phosphatase; TBL = total bilirubin.</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ADLB. Program: t_hyslaw_detail.sas.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14.3.2.5  Summary of Deaths by Primary Cause</w:t>
      </w:r>
      <w:r>
        <w:bookmarkStart w:id="0" w:name="T14.3.2.5"/>
        <w:bookmarkEnd w:id="0"/>
      </w:r>
    </w:p>
    <w:p>
      <w:pPr>
        <w:keepNext/>
        <w:spacing w:before="40" w:after="160"/>
      </w:pPr>
      <w:r>
        <w:rPr>
          <w:rFonts w:ascii="Times New Roman" w:hAnsi="Times New Roman"/>
          <w:i/>
          <w:sz w:val="18"/>
        </w:rPr>
        <w:t>Analysis Set: All Randomized Subjects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All deaths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Disease progression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Adverse event</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Other / unknown</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L16.2.20</w:t>
      </w:r>
    </w:p>
    <w:p>
      <w:pPr>
        <w:spacing w:before="0" w:after="0"/>
      </w:pPr>
      <w:r>
        <w:rPr>
          <w:rFonts w:ascii="Times New Roman" w:hAnsi="Times New Roman"/>
          <w:i/>
          <w:sz w:val="16"/>
        </w:rPr>
        <w:t>[2] Primary cause per Investigator assessment. Listing: L16.2.20.</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ADSL, ADAE, ADTTE. Program: t_death_detail.sas.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14.3.2.1  eDISH Plot — Peak ALT vs. Peak Total Bilirubin with Hy's Law Zone</w:t>
      </w:r>
      <w:r>
        <w:bookmarkStart w:id="0" w:name="F14.3.2.1"/>
        <w:bookmarkEnd w:id="0"/>
      </w:r>
    </w:p>
    <w:p>
      <w:pPr>
        <w:keepNext/>
        <w:spacing w:before="40" w:after="160"/>
      </w:pPr>
      <w:r>
        <w:rPr>
          <w:rFonts w:ascii="Times New Roman" w:hAnsi="Times New Roman"/>
          <w:i/>
          <w:sz w:val="18"/>
        </w:rPr>
        <w:t>Analysis Set: Safety Population with Baseline and Post-Baseline Labs</w:t>
      </w:r>
    </w:p>
    <w:p>
      <w:pPr>
        <w:spacing w:before="120" w:after="40"/>
        <w:jc w:val="center"/>
      </w:pPr>
      <w:r>
        <w:drawing>
          <wp:inline xmlns:a="http://schemas.openxmlformats.org/drawingml/2006/main" xmlns:pic="http://schemas.openxmlformats.org/drawingml/2006/picture">
            <wp:extent cx="4114800" cy="3784248"/>
            <wp:docPr id="16" name="Picture 1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784248"/>
                    </a:xfrm>
                    <a:prstGeom prst="rect"/>
                  </pic:spPr>
                </pic:pic>
              </a:graphicData>
            </a:graphic>
          </wp:inline>
        </w:drawing>
      </w:r>
    </w:p>
    <w:p>
      <w:pPr>
        <w:keepNext/>
        <w:spacing w:before="0" w:after="40"/>
        <w:jc w:val="center"/>
      </w:pPr>
      <w:r>
        <w:rPr>
          <w:rFonts w:ascii="Times New Roman" w:hAnsi="Times New Roman"/>
          <w:i/>
          <w:color w:val="646464"/>
          <w:sz w:val="16"/>
        </w:rPr>
        <w:t>[Figure 14.3.2.1: eDISH: log-log scatter of peak ALT (xULN) vs. peak TBL (xULN). Quadrant at ALT &gt;=3xULN, TBL &gt;=2xULN = Hy's Law zone. Individual subject dots labeled.]</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L16.2.23</w:t>
      </w:r>
    </w:p>
    <w:p>
      <w:pPr>
        <w:spacing w:before="0" w:after="0"/>
      </w:pPr>
      <w:r>
        <w:rPr>
          <w:rFonts w:ascii="Times New Roman" w:hAnsi="Times New Roman"/>
          <w:i/>
          <w:sz w:val="16"/>
        </w:rPr>
        <w:t>[2] Dataset: ADSL, ADLB. Program: f_edish.sas.</w:t>
      </w:r>
      <w:r>
        <w:br w:type="page"/>
      </w:r>
    </w:p>
    <w:p>
      <w:pPr>
        <w:pStyle w:val="Heading3"/>
        <w:spacing w:before="120" w:after="80"/>
      </w:pPr>
      <w:r>
        <w:rPr>
          <w:rFonts w:ascii="Times New Roman" w:hAnsi="Times New Roman"/>
          <w:b/>
          <w:color w:val="003366"/>
          <w:sz w:val="22"/>
        </w:rPr>
        <w:t>14.3.3  Clinical Laboratory Evaluations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  Laboratory Parameters — Shift Table (Baseline to Worst Post-Baseline)</w:t>
      </w:r>
      <w:r>
        <w:bookmarkStart w:id="0" w:name="T14.3.3.1"/>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54"/>
        <w:gridCol w:w="1954"/>
        <w:gridCol w:w="1954"/>
        <w:gridCol w:w="1954"/>
        <w:gridCol w:w="1954"/>
        <w:gridCol w:w="1954"/>
        <w:gridCol w:w="1954"/>
      </w:tblGrid>
      <w:tr>
        <w:trPr>
          <w:tblHeader w:val="true"/>
        </w:trPr>
        <w:tc>
          <w:tcPr>
            <w:tcW w:type="dxa" w:w="1954"/>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(Unit)</w:t>
            </w:r>
          </w:p>
        </w:tc>
        <w:tc>
          <w:tcPr>
            <w:tcW w:type="dxa" w:w="1954"/>
            <w:shd w:fill="F2F2F2" w:val="clear"/>
            <w:tcBorders>
              <w:bottom w:val="single" w:sz="4" w:space="0" w:color="000000"/>
            </w:tcBorders>
          </w:tcPr>
          <w:p>
            <w:pPr>
              <w:spacing w:before="0" w:after="0"/>
              <w:jc w:val="center"/>
            </w:pPr>
            <w:r>
              <w:rPr>
                <w:rFonts w:ascii="Times New Roman" w:hAnsi="Times New Roman"/>
                <w:b/>
                <w:sz w:val="18"/>
              </w:rPr>
              <w:t>Baseline</w:t>
            </w:r>
          </w:p>
          <w:p>
            <w:pPr>
              <w:spacing w:before="0" w:after="0"/>
              <w:jc w:val="center"/>
            </w:pPr>
            <w:r>
              <w:rPr>
                <w:rFonts w:ascii="Times New Roman" w:hAnsi="Times New Roman"/>
                <w:b/>
                <w:sz w:val="18"/>
              </w:rPr>
              <w:t>Grade</w:t>
            </w:r>
          </w:p>
        </w:tc>
        <w:tc>
          <w:tcPr>
            <w:tcW w:type="dxa" w:w="1954"/>
            <w:shd w:fill="F2F2F2" w:val="clear"/>
            <w:tcBorders>
              <w:bottom w:val="single" w:sz="4" w:space="0" w:color="000000"/>
            </w:tcBorders>
          </w:tcPr>
          <w:p>
            <w:pPr>
              <w:spacing w:before="0" w:after="0"/>
              <w:jc w:val="center"/>
            </w:pPr>
            <w:r>
              <w:rPr>
                <w:rFonts w:ascii="Times New Roman" w:hAnsi="Times New Roman"/>
                <w:b/>
                <w:sz w:val="18"/>
              </w:rPr>
              <w:t>Worst Post-BL</w:t>
            </w:r>
          </w:p>
          <w:p>
            <w:pPr>
              <w:spacing w:before="0" w:after="0"/>
              <w:jc w:val="center"/>
            </w:pPr>
            <w:r>
              <w:rPr>
                <w:rFonts w:ascii="Times New Roman" w:hAnsi="Times New Roman"/>
                <w:b/>
                <w:sz w:val="18"/>
              </w:rPr>
              <w:t>Grade</w:t>
            </w:r>
          </w:p>
        </w:tc>
        <w:tc>
          <w:tcPr>
            <w:tcW w:type="dxa" w:w="1954"/>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1954"/>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1954"/>
            <w:shd w:fill="F2F2F2" w:val="clear"/>
            <w:tcBorders>
              <w:bottom w:val="single" w:sz="4" w:space="0" w:color="000000"/>
            </w:tcBorders>
          </w:tcPr>
          <w:p>
            <w:pPr>
              <w:jc w:val="center"/>
            </w:pPr>
            <w:r>
              <w:rPr>
                <w:rFonts w:ascii="Times New Roman" w:hAnsi="Times New Roman"/>
                <w:b/>
                <w:sz w:val="18"/>
              </w:rPr>
              <w:t>...</w:t>
            </w:r>
          </w:p>
        </w:tc>
        <w:tc>
          <w:tcPr>
            <w:tcW w:type="dxa" w:w="1954"/>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1954"/>
          </w:tcPr>
          <w:p>
            <w:pPr>
              <w:spacing w:before="20" w:after="20" w:line="240" w:lineRule="exact"/>
              <w:jc w:val="left"/>
            </w:pPr>
            <w:r>
              <w:rPr>
                <w:rFonts w:ascii="Times New Roman" w:hAnsi="Times New Roman"/>
                <w:b w:val="0"/>
                <w:sz w:val="18"/>
              </w:rPr>
              <w:t>Hemoglobin (g/dL)</w:t>
            </w:r>
          </w:p>
        </w:tc>
        <w:tc>
          <w:tcPr>
            <w:tcW w:type="dxa" w:w="1954"/>
          </w:tcPr>
          <w:p>
            <w:pPr>
              <w:spacing w:before="20" w:after="20" w:line="240" w:lineRule="exact"/>
              <w:jc w:val="center"/>
            </w:pPr>
            <w:r>
              <w:rPr>
                <w:rFonts w:ascii="Times New Roman" w:hAnsi="Times New Roman"/>
                <w:b w:val="0"/>
                <w:sz w:val="18"/>
              </w:rPr>
              <w:t>Normal</w:t>
            </w:r>
          </w:p>
        </w:tc>
        <w:tc>
          <w:tcPr>
            <w:tcW w:type="dxa" w:w="1954"/>
          </w:tcPr>
          <w:p>
            <w:pPr>
              <w:spacing w:before="20" w:after="20" w:line="240" w:lineRule="exact"/>
              <w:jc w:val="center"/>
            </w:pPr>
            <w:r>
              <w:rPr>
                <w:rFonts w:ascii="Times New Roman" w:hAnsi="Times New Roman"/>
                <w:b w:val="0"/>
                <w:sz w:val="18"/>
              </w:rPr>
              <w:t>Low</w:t>
            </w:r>
          </w:p>
        </w:tc>
        <w:tc>
          <w:tcPr>
            <w:tcW w:type="dxa" w:w="1954"/>
          </w:tcPr>
          <w:p>
            <w:pPr>
              <w:spacing w:before="20" w:after="20" w:line="240" w:lineRule="exact"/>
              <w:jc w:val="center"/>
            </w:pPr>
            <w:r>
              <w:rPr>
                <w:rFonts w:ascii="Times New Roman" w:hAnsi="Times New Roman"/>
                <w:b w:val="0"/>
                <w:sz w:val="18"/>
              </w:rPr>
              <w:t>xx (xx.x)</w:t>
            </w:r>
          </w:p>
        </w:tc>
        <w:tc>
          <w:tcPr>
            <w:tcW w:type="dxa" w:w="1954"/>
          </w:tcPr>
          <w:p>
            <w:pPr>
              <w:spacing w:before="20" w:after="20" w:line="240" w:lineRule="exact"/>
              <w:jc w:val="center"/>
            </w:pPr>
            <w:r>
              <w:rPr>
                <w:rFonts w:ascii="Times New Roman" w:hAnsi="Times New Roman"/>
                <w:b w:val="0"/>
                <w:sz w:val="18"/>
              </w:rPr>
              <w:t>xx (xx.x)</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xx (xx.x)</w:t>
            </w:r>
          </w:p>
        </w:tc>
      </w:tr>
      <w:tr>
        <w:tc>
          <w:tcPr>
            <w:tcW w:type="dxa" w:w="1954"/>
          </w:tcPr>
          <w:p>
            <w:pPr>
              <w:spacing w:before="20" w:after="20" w:line="240" w:lineRule="exact"/>
              <w:jc w:val="left"/>
            </w:pPr>
            <w:r>
              <w:rPr>
                <w:rFonts w:ascii="Times New Roman" w:hAnsi="Times New Roman"/>
                <w:b w:val="0"/>
                <w:sz w:val="18"/>
              </w:rPr>
            </w:r>
          </w:p>
        </w:tc>
        <w:tc>
          <w:tcPr>
            <w:tcW w:type="dxa" w:w="1954"/>
          </w:tcPr>
          <w:p>
            <w:pPr>
              <w:spacing w:before="20" w:after="20" w:line="240" w:lineRule="exact"/>
              <w:jc w:val="center"/>
            </w:pPr>
            <w:r>
              <w:rPr>
                <w:rFonts w:ascii="Times New Roman" w:hAnsi="Times New Roman"/>
                <w:b w:val="0"/>
                <w:sz w:val="18"/>
              </w:rPr>
              <w:t>Normal</w:t>
            </w:r>
          </w:p>
        </w:tc>
        <w:tc>
          <w:tcPr>
            <w:tcW w:type="dxa" w:w="1954"/>
          </w:tcPr>
          <w:p>
            <w:pPr>
              <w:spacing w:before="20" w:after="20" w:line="240" w:lineRule="exact"/>
              <w:jc w:val="center"/>
            </w:pPr>
            <w:r>
              <w:rPr>
                <w:rFonts w:ascii="Times New Roman" w:hAnsi="Times New Roman"/>
                <w:b w:val="0"/>
                <w:sz w:val="18"/>
              </w:rPr>
              <w:t>Normal</w:t>
            </w:r>
          </w:p>
        </w:tc>
        <w:tc>
          <w:tcPr>
            <w:tcW w:type="dxa" w:w="1954"/>
          </w:tcPr>
          <w:p>
            <w:pPr>
              <w:spacing w:before="20" w:after="20" w:line="240" w:lineRule="exact"/>
              <w:jc w:val="center"/>
            </w:pPr>
            <w:r>
              <w:rPr>
                <w:rFonts w:ascii="Times New Roman" w:hAnsi="Times New Roman"/>
                <w:b w:val="0"/>
                <w:sz w:val="18"/>
              </w:rPr>
              <w:t>xx (xx.x)</w:t>
            </w:r>
          </w:p>
        </w:tc>
        <w:tc>
          <w:tcPr>
            <w:tcW w:type="dxa" w:w="1954"/>
          </w:tcPr>
          <w:p>
            <w:pPr>
              <w:spacing w:before="20" w:after="20" w:line="240" w:lineRule="exact"/>
              <w:jc w:val="center"/>
            </w:pPr>
            <w:r>
              <w:rPr>
                <w:rFonts w:ascii="Times New Roman" w:hAnsi="Times New Roman"/>
                <w:b w:val="0"/>
                <w:sz w:val="18"/>
              </w:rPr>
              <w:t>xx (xx.x)</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xx (xx.x)</w:t>
            </w:r>
          </w:p>
        </w:tc>
      </w:tr>
      <w:tr>
        <w:tc>
          <w:tcPr>
            <w:tcW w:type="dxa" w:w="1954"/>
          </w:tcPr>
          <w:p>
            <w:pPr>
              <w:spacing w:before="20" w:after="20" w:line="240" w:lineRule="exact"/>
              <w:jc w:val="left"/>
            </w:pPr>
            <w:r>
              <w:rPr>
                <w:rFonts w:ascii="Times New Roman" w:hAnsi="Times New Roman"/>
                <w:b w:val="0"/>
                <w:sz w:val="18"/>
              </w:rPr>
            </w:r>
          </w:p>
        </w:tc>
        <w:tc>
          <w:tcPr>
            <w:tcW w:type="dxa" w:w="1954"/>
          </w:tcPr>
          <w:p>
            <w:pPr>
              <w:spacing w:before="20" w:after="20" w:line="240" w:lineRule="exact"/>
              <w:jc w:val="center"/>
            </w:pPr>
            <w:r>
              <w:rPr>
                <w:rFonts w:ascii="Times New Roman" w:hAnsi="Times New Roman"/>
                <w:b w:val="0"/>
                <w:sz w:val="18"/>
              </w:rPr>
              <w:t>Low</w:t>
            </w:r>
          </w:p>
        </w:tc>
        <w:tc>
          <w:tcPr>
            <w:tcW w:type="dxa" w:w="1954"/>
          </w:tcPr>
          <w:p>
            <w:pPr>
              <w:spacing w:before="20" w:after="20" w:line="240" w:lineRule="exact"/>
              <w:jc w:val="center"/>
            </w:pPr>
            <w:r>
              <w:rPr>
                <w:rFonts w:ascii="Times New Roman" w:hAnsi="Times New Roman"/>
                <w:b w:val="0"/>
                <w:sz w:val="18"/>
              </w:rPr>
              <w:t>Low</w:t>
            </w:r>
          </w:p>
        </w:tc>
        <w:tc>
          <w:tcPr>
            <w:tcW w:type="dxa" w:w="1954"/>
          </w:tcPr>
          <w:p>
            <w:pPr>
              <w:spacing w:before="20" w:after="20" w:line="240" w:lineRule="exact"/>
              <w:jc w:val="center"/>
            </w:pPr>
            <w:r>
              <w:rPr>
                <w:rFonts w:ascii="Times New Roman" w:hAnsi="Times New Roman"/>
                <w:b w:val="0"/>
                <w:sz w:val="18"/>
              </w:rPr>
              <w:t>xx (xx.x)</w:t>
            </w:r>
          </w:p>
        </w:tc>
        <w:tc>
          <w:tcPr>
            <w:tcW w:type="dxa" w:w="1954"/>
          </w:tcPr>
          <w:p>
            <w:pPr>
              <w:spacing w:before="20" w:after="20" w:line="240" w:lineRule="exact"/>
              <w:jc w:val="center"/>
            </w:pPr>
            <w:r>
              <w:rPr>
                <w:rFonts w:ascii="Times New Roman" w:hAnsi="Times New Roman"/>
                <w:b w:val="0"/>
                <w:sz w:val="18"/>
              </w:rPr>
              <w:t>xx (xx.x)</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xx (xx.x)</w:t>
            </w:r>
          </w:p>
        </w:tc>
      </w:tr>
      <w:tr>
        <w:tc>
          <w:tcPr>
            <w:tcW w:type="dxa" w:w="1954"/>
          </w:tcPr>
          <w:p>
            <w:pPr>
              <w:spacing w:before="20" w:after="20" w:line="240" w:lineRule="exact"/>
              <w:jc w:val="left"/>
            </w:pPr>
            <w:r>
              <w:rPr>
                <w:rFonts w:ascii="Times New Roman" w:hAnsi="Times New Roman"/>
                <w:b w:val="0"/>
                <w:sz w:val="18"/>
              </w:rPr>
              <w:t>ALT (U/L)</w:t>
            </w:r>
          </w:p>
        </w:tc>
        <w:tc>
          <w:tcPr>
            <w:tcW w:type="dxa" w:w="1954"/>
          </w:tcPr>
          <w:p>
            <w:pPr>
              <w:spacing w:before="20" w:after="20" w:line="240" w:lineRule="exact"/>
              <w:jc w:val="center"/>
            </w:pPr>
            <w:r>
              <w:rPr>
                <w:rFonts w:ascii="Times New Roman" w:hAnsi="Times New Roman"/>
                <w:b w:val="0"/>
                <w:sz w:val="18"/>
              </w:rPr>
              <w:t>Normal</w:t>
            </w:r>
          </w:p>
        </w:tc>
        <w:tc>
          <w:tcPr>
            <w:tcW w:type="dxa" w:w="1954"/>
          </w:tcPr>
          <w:p>
            <w:pPr>
              <w:spacing w:before="20" w:after="20" w:line="240" w:lineRule="exact"/>
              <w:jc w:val="center"/>
            </w:pPr>
            <w:r>
              <w:rPr>
                <w:rFonts w:ascii="Times New Roman" w:hAnsi="Times New Roman"/>
                <w:b w:val="0"/>
                <w:sz w:val="18"/>
              </w:rPr>
              <w:t>High (&gt;ULN)</w:t>
            </w:r>
          </w:p>
        </w:tc>
        <w:tc>
          <w:tcPr>
            <w:tcW w:type="dxa" w:w="1954"/>
          </w:tcPr>
          <w:p>
            <w:pPr>
              <w:spacing w:before="20" w:after="20" w:line="240" w:lineRule="exact"/>
              <w:jc w:val="center"/>
            </w:pPr>
            <w:r>
              <w:rPr>
                <w:rFonts w:ascii="Times New Roman" w:hAnsi="Times New Roman"/>
                <w:b w:val="0"/>
                <w:sz w:val="18"/>
              </w:rPr>
              <w:t>xx (xx.x)</w:t>
            </w:r>
          </w:p>
        </w:tc>
        <w:tc>
          <w:tcPr>
            <w:tcW w:type="dxa" w:w="1954"/>
          </w:tcPr>
          <w:p>
            <w:pPr>
              <w:spacing w:before="20" w:after="20" w:line="240" w:lineRule="exact"/>
              <w:jc w:val="center"/>
            </w:pPr>
            <w:r>
              <w:rPr>
                <w:rFonts w:ascii="Times New Roman" w:hAnsi="Times New Roman"/>
                <w:b w:val="0"/>
                <w:sz w:val="18"/>
              </w:rPr>
              <w:t>xx (xx.x)</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xx (xx.x)</w:t>
            </w:r>
          </w:p>
        </w:tc>
      </w:tr>
      <w:tr>
        <w:tc>
          <w:tcPr>
            <w:tcW w:type="dxa" w:w="1954"/>
          </w:tcPr>
          <w:p>
            <w:pPr>
              <w:spacing w:before="20" w:after="20" w:line="240" w:lineRule="exact"/>
              <w:jc w:val="left"/>
            </w:pPr>
            <w:r>
              <w:rPr>
                <w:rFonts w:ascii="Times New Roman" w:hAnsi="Times New Roman"/>
                <w:b w:val="0"/>
                <w:sz w:val="18"/>
              </w:rPr>
              <w:t>[Additional rows omitted in master shell]</w:t>
            </w:r>
          </w:p>
        </w:tc>
        <w:tc>
          <w:tcPr>
            <w:tcW w:type="dxa" w:w="1954"/>
          </w:tcPr>
          <w:p>
            <w:pPr>
              <w:spacing w:before="20" w:after="20" w:line="240" w:lineRule="exact"/>
              <w:jc w:val="center"/>
            </w:pPr>
            <w:r>
              <w:rPr>
                <w:rFonts w:ascii="Times New Roman" w:hAnsi="Times New Roman"/>
                <w:b w:val="0"/>
                <w:sz w:val="18"/>
              </w:rPr>
            </w:r>
          </w:p>
        </w:tc>
        <w:tc>
          <w:tcPr>
            <w:tcW w:type="dxa" w:w="1954"/>
          </w:tcPr>
          <w:p>
            <w:pPr>
              <w:spacing w:before="20" w:after="20" w:line="240" w:lineRule="exact"/>
              <w:jc w:val="center"/>
            </w:pPr>
            <w:r>
              <w:rPr>
                <w:rFonts w:ascii="Times New Roman" w:hAnsi="Times New Roman"/>
                <w:b w:val="0"/>
                <w:sz w:val="18"/>
              </w:rPr>
            </w:r>
          </w:p>
        </w:tc>
        <w:tc>
          <w:tcPr>
            <w:tcW w:type="dxa" w:w="1954"/>
          </w:tcPr>
          <w:p>
            <w:pPr>
              <w:spacing w:before="20" w:after="20" w:line="240" w:lineRule="exact"/>
              <w:jc w:val="center"/>
            </w:pPr>
            <w:r>
              <w:rPr>
                <w:rFonts w:ascii="Times New Roman" w:hAnsi="Times New Roman"/>
                <w:b w:val="0"/>
                <w:sz w:val="18"/>
              </w:rPr>
            </w:r>
          </w:p>
        </w:tc>
        <w:tc>
          <w:tcPr>
            <w:tcW w:type="dxa" w:w="1954"/>
          </w:tcPr>
          <w:p>
            <w:pPr>
              <w:spacing w:before="20" w:after="20" w:line="240" w:lineRule="exact"/>
              <w:jc w:val="center"/>
            </w:pPr>
            <w:r>
              <w:rPr>
                <w:rFonts w:ascii="Times New Roman" w:hAnsi="Times New Roman"/>
                <w:b w:val="0"/>
                <w:sz w:val="18"/>
              </w:rPr>
            </w:r>
          </w:p>
        </w:tc>
        <w:tc>
          <w:tcPr>
            <w:tcW w:type="dxa" w:w="1954"/>
          </w:tcPr>
          <w:p>
            <w:pPr>
              <w:spacing w:before="20" w:after="20" w:line="240" w:lineRule="exact"/>
              <w:jc w:val="center"/>
            </w:pPr>
            <w:r>
              <w:rPr>
                <w:rFonts w:ascii="Times New Roman" w:hAnsi="Times New Roman"/>
                <w:b w:val="0"/>
                <w:sz w:val="18"/>
              </w:rPr>
            </w:r>
          </w:p>
        </w:tc>
        <w:tc>
          <w:tcPr>
            <w:tcW w:type="dxa" w:w="1954"/>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Abbreviations: BL = baseline; ALT = alanine aminotransferase.</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ADSL, ADLB. Program: t_lab_shift.sas.</w:t>
      </w:r>
    </w:p>
    <w:p>
      <w:pPr>
        <w:spacing w:before="0" w:after="0"/>
      </w:pPr>
      <w:r>
        <w:rPr>
          <w:rFonts w:ascii="Times New Roman" w:hAnsi="Times New Roman"/>
          <w:i/>
          <w:sz w:val="16"/>
        </w:rPr>
        <w:t>[5]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14.3.3.2  Hematology Parameters — Summary Statistics by Visit</w:t>
      </w:r>
      <w:r>
        <w:bookmarkStart w:id="0" w:name="T14.3.3.2"/>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Hemoglobin (g/dL)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n</w:t>
            </w:r>
          </w:p>
        </w:tc>
        <w:tc>
          <w:tcPr>
            <w:tcW w:type="dxa" w:w="2280"/>
          </w:tcPr>
          <w:p>
            <w:pPr>
              <w:spacing w:before="20" w:after="20" w:line="240" w:lineRule="exact"/>
              <w:jc w:val="center"/>
            </w:pPr>
            <w:r>
              <w:rPr>
                <w:rFonts w:ascii="Times New Roman" w:hAnsi="Times New Roman"/>
                <w:b w:val="0"/>
                <w:sz w:val="18"/>
              </w:rPr>
              <w:t>xx</w:t>
            </w:r>
          </w:p>
        </w:tc>
        <w:tc>
          <w:tcPr>
            <w:tcW w:type="dxa" w:w="2280"/>
          </w:tcPr>
          <w:p>
            <w:pPr>
              <w:spacing w:before="20" w:after="20" w:line="240" w:lineRule="exact"/>
              <w:jc w:val="center"/>
            </w:pPr>
            <w:r>
              <w:rPr>
                <w:rFonts w:ascii="Times New Roman" w:hAnsi="Times New Roman"/>
                <w:b w:val="0"/>
                <w:sz w:val="18"/>
              </w:rPr>
              <w:t>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w:t>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Week 4</w:t>
            </w:r>
          </w:p>
        </w:tc>
        <w:tc>
          <w:tcPr>
            <w:tcW w:type="dxa" w:w="2280"/>
          </w:tcPr>
          <w:p>
            <w:pPr>
              <w:spacing w:before="20" w:after="20" w:line="240" w:lineRule="exact"/>
              <w:jc w:val="center"/>
            </w:pPr>
            <w:r>
              <w:rPr>
                <w:rFonts w:ascii="Times New Roman" w:hAnsi="Times New Roman"/>
                <w:b w:val="0"/>
                <w:sz w:val="18"/>
              </w:rPr>
              <w:t>n</w:t>
            </w:r>
          </w:p>
        </w:tc>
        <w:tc>
          <w:tcPr>
            <w:tcW w:type="dxa" w:w="2280"/>
          </w:tcPr>
          <w:p>
            <w:pPr>
              <w:spacing w:before="20" w:after="20" w:line="240" w:lineRule="exact"/>
              <w:jc w:val="center"/>
            </w:pPr>
            <w:r>
              <w:rPr>
                <w:rFonts w:ascii="Times New Roman" w:hAnsi="Times New Roman"/>
                <w:b w:val="0"/>
                <w:sz w:val="18"/>
              </w:rPr>
              <w:t>xx</w:t>
            </w:r>
          </w:p>
        </w:tc>
        <w:tc>
          <w:tcPr>
            <w:tcW w:type="dxa" w:w="2280"/>
          </w:tcPr>
          <w:p>
            <w:pPr>
              <w:spacing w:before="20" w:after="20" w:line="240" w:lineRule="exact"/>
              <w:jc w:val="center"/>
            </w:pPr>
            <w:r>
              <w:rPr>
                <w:rFonts w:ascii="Times New Roman" w:hAnsi="Times New Roman"/>
                <w:b w:val="0"/>
                <w:sz w:val="18"/>
              </w:rPr>
              <w:t>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w:t>
            </w:r>
          </w:p>
        </w:tc>
      </w:tr>
      <w:tr>
        <w:tc>
          <w:tcPr>
            <w:tcW w:type="dxa" w:w="2280"/>
          </w:tcPr>
          <w:p>
            <w:pPr>
              <w:spacing w:before="20" w:after="20" w:line="240" w:lineRule="exact"/>
              <w:jc w:val="left"/>
            </w:pPr>
            <w:r>
              <w:rPr>
                <w:rFonts w:ascii="Times New Roman" w:hAnsi="Times New Roman"/>
                <w:b w:val="0"/>
                <w:sz w:val="18"/>
              </w:rPr>
              <w:t>Week 4</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Platelets (×10⁹/L)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Dataset: ADSL, ADLB. Program: t_heme_by_visit.sas.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14.3.3.3  Clinical Chemistry Parameters — Summary Statistics by Visit</w:t>
      </w:r>
      <w:r>
        <w:bookmarkStart w:id="0" w:name="T14.3.3.3"/>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ALT (U/L)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Week 4</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AST (U/L)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Total Bilirubin (mg/dL)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Abbreviations: ALT = alanine aminotransferase; AST = aspartate aminotransferase.</w:t>
      </w:r>
    </w:p>
    <w:p>
      <w:pPr>
        <w:spacing w:before="0" w:after="0"/>
      </w:pPr>
      <w:r>
        <w:rPr>
          <w:rFonts w:ascii="Times New Roman" w:hAnsi="Times New Roman"/>
          <w:i/>
          <w:sz w:val="16"/>
        </w:rPr>
        <w:t>[3] Dataset: ADSL, ADLB. Program: t_chem_by_visit.sas.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14.3.3.4  Summary of Grade &gt;=3 Laboratory Abnormalities by Parameter</w:t>
      </w:r>
      <w:r>
        <w:bookmarkStart w:id="0" w:name="T14.3.3.4"/>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p>
            <w:pPr>
              <w:spacing w:before="0" w:after="0"/>
              <w:jc w:val="center"/>
            </w:pPr>
            <w:r>
              <w:rPr>
                <w:rFonts w:ascii="Times New Roman" w:hAnsi="Times New Roman"/>
                <w:b/>
                <w:sz w:val="18"/>
              </w:rPr>
              <w:t>n (%)</w:t>
            </w:r>
          </w:p>
        </w:tc>
      </w:tr>
      <w:tr>
        <w:tc>
          <w:tcPr>
            <w:tcW w:type="dxa" w:w="2736"/>
          </w:tcPr>
          <w:p>
            <w:pPr>
              <w:spacing w:before="20" w:after="20" w:line="240" w:lineRule="exact"/>
              <w:jc w:val="left"/>
            </w:pPr>
            <w:r>
              <w:rPr>
                <w:rFonts w:ascii="Times New Roman" w:hAnsi="Times New Roman"/>
                <w:b w:val="0"/>
                <w:sz w:val="18"/>
              </w:rPr>
              <w:t>Any Grade &gt;=3 laboratory abnormality</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Hematology — [Parameter]</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Chemistry — [Parameter]</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Statistical definitions: Percentages use the stated analysis population within each treatment group unless otherwise specified.</w:t>
      </w:r>
    </w:p>
    <w:p>
      <w:pPr>
        <w:spacing w:before="0" w:after="0"/>
      </w:pPr>
      <w:r>
        <w:rPr>
          <w:rFonts w:ascii="Times New Roman" w:hAnsi="Times New Roman"/>
          <w:i/>
          <w:sz w:val="16"/>
        </w:rPr>
        <w:t>[3] Dataset: ADSL, ADLB. Program: t_lab_grade3.sas.</w:t>
      </w:r>
    </w:p>
    <w:p>
      <w:pPr>
        <w:spacing w:before="0" w:after="0"/>
      </w:pPr>
      <w:r>
        <w:rPr>
          <w:rFonts w:ascii="Times New Roman" w:hAnsi="Times New Roman"/>
          <w:i/>
          <w:sz w:val="16"/>
        </w:rPr>
        <w:t>[4]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14.3.3.5  Laboratory Toxicity Grade Shift Over Time (by Cycle)</w:t>
      </w:r>
      <w:r>
        <w:bookmarkStart w:id="0" w:name="T14.3.3.5"/>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Parameter</w:t>
            </w:r>
          </w:p>
        </w:tc>
        <w:tc>
          <w:tcPr>
            <w:tcW w:type="dxa" w:w="1710"/>
            <w:shd w:fill="F2F2F2" w:val="clear"/>
            <w:tcBorders>
              <w:bottom w:val="single" w:sz="4" w:space="0" w:color="000000"/>
            </w:tcBorders>
          </w:tcPr>
          <w:p>
            <w:pPr>
              <w:jc w:val="center"/>
            </w:pPr>
            <w:r>
              <w:rPr>
                <w:rFonts w:ascii="Times New Roman" w:hAnsi="Times New Roman"/>
                <w:b/>
                <w:sz w:val="18"/>
              </w:rPr>
              <w:t>Cycle</w:t>
            </w:r>
          </w:p>
        </w:tc>
        <w:tc>
          <w:tcPr>
            <w:tcW w:type="dxa" w:w="1710"/>
            <w:shd w:fill="F2F2F2" w:val="clear"/>
            <w:tcBorders>
              <w:bottom w:val="single" w:sz="4" w:space="0" w:color="000000"/>
            </w:tcBorders>
          </w:tcPr>
          <w:p>
            <w:pPr>
              <w:spacing w:before="0" w:after="0"/>
              <w:jc w:val="center"/>
            </w:pPr>
            <w:r>
              <w:rPr>
                <w:rFonts w:ascii="Times New Roman" w:hAnsi="Times New Roman"/>
                <w:b/>
                <w:sz w:val="18"/>
              </w:rPr>
              <w:t>Baseline</w:t>
            </w:r>
          </w:p>
          <w:p>
            <w:pPr>
              <w:spacing w:before="0" w:after="0"/>
              <w:jc w:val="center"/>
            </w:pPr>
            <w:r>
              <w:rPr>
                <w:rFonts w:ascii="Times New Roman" w:hAnsi="Times New Roman"/>
                <w:b/>
                <w:sz w:val="18"/>
              </w:rPr>
              <w:t>Grade</w:t>
            </w:r>
          </w:p>
        </w:tc>
        <w:tc>
          <w:tcPr>
            <w:tcW w:type="dxa" w:w="1710"/>
            <w:shd w:fill="F2F2F2" w:val="clear"/>
            <w:tcBorders>
              <w:bottom w:val="single" w:sz="4" w:space="0" w:color="000000"/>
            </w:tcBorders>
          </w:tcPr>
          <w:p>
            <w:pPr>
              <w:spacing w:before="0" w:after="0"/>
              <w:jc w:val="center"/>
            </w:pPr>
            <w:r>
              <w:rPr>
                <w:rFonts w:ascii="Times New Roman" w:hAnsi="Times New Roman"/>
                <w:b/>
                <w:sz w:val="18"/>
              </w:rPr>
              <w:t>Max Post-BL</w:t>
            </w:r>
          </w:p>
          <w:p>
            <w:pPr>
              <w:spacing w:before="0" w:after="0"/>
              <w:jc w:val="center"/>
            </w:pPr>
            <w:r>
              <w:rPr>
                <w:rFonts w:ascii="Times New Roman" w:hAnsi="Times New Roman"/>
                <w:b/>
                <w:sz w:val="18"/>
              </w:rPr>
              <w:t>Grade</w:t>
            </w:r>
          </w:p>
        </w:tc>
        <w:tc>
          <w:tcPr>
            <w:tcW w:type="dxa" w:w="171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171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1710"/>
            <w:shd w:fill="F2F2F2" w:val="clear"/>
            <w:tcBorders>
              <w:bottom w:val="single" w:sz="4" w:space="0" w:color="000000"/>
            </w:tcBorders>
          </w:tcPr>
          <w:p>
            <w:pPr>
              <w:jc w:val="center"/>
            </w:pPr>
            <w:r>
              <w:rPr>
                <w:rFonts w:ascii="Times New Roman" w:hAnsi="Times New Roman"/>
                <w:b/>
                <w:sz w:val="18"/>
              </w:rPr>
              <w:t>...</w:t>
            </w:r>
          </w:p>
        </w:tc>
        <w:tc>
          <w:tcPr>
            <w:tcW w:type="dxa" w:w="171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1710"/>
          </w:tcPr>
          <w:p>
            <w:pPr>
              <w:spacing w:before="20" w:after="20" w:line="240" w:lineRule="exact"/>
              <w:jc w:val="left"/>
            </w:pPr>
            <w:r>
              <w:rPr>
                <w:rFonts w:ascii="Times New Roman" w:hAnsi="Times New Roman"/>
                <w:b w:val="0"/>
                <w:sz w:val="18"/>
              </w:rPr>
              <w:t>ALT</w:t>
            </w:r>
          </w:p>
        </w:tc>
        <w:tc>
          <w:tcPr>
            <w:tcW w:type="dxa" w:w="1710"/>
          </w:tcPr>
          <w:p>
            <w:pPr>
              <w:spacing w:before="20" w:after="20" w:line="240" w:lineRule="exact"/>
              <w:jc w:val="center"/>
            </w:pPr>
            <w:r>
              <w:rPr>
                <w:rFonts w:ascii="Times New Roman" w:hAnsi="Times New Roman"/>
                <w:b w:val="0"/>
                <w:sz w:val="18"/>
              </w:rPr>
              <w:t>Cycle 1</w:t>
            </w:r>
          </w:p>
        </w:tc>
        <w:tc>
          <w:tcPr>
            <w:tcW w:type="dxa" w:w="1710"/>
          </w:tcPr>
          <w:p>
            <w:pPr>
              <w:spacing w:before="20" w:after="20" w:line="240" w:lineRule="exact"/>
              <w:jc w:val="center"/>
            </w:pPr>
            <w:r>
              <w:rPr>
                <w:rFonts w:ascii="Times New Roman" w:hAnsi="Times New Roman"/>
                <w:b w:val="0"/>
                <w:sz w:val="18"/>
              </w:rPr>
              <w:t>0-1</w:t>
            </w:r>
          </w:p>
        </w:tc>
        <w:tc>
          <w:tcPr>
            <w:tcW w:type="dxa" w:w="1710"/>
          </w:tcPr>
          <w:p>
            <w:pPr>
              <w:spacing w:before="20" w:after="20" w:line="240" w:lineRule="exact"/>
              <w:jc w:val="center"/>
            </w:pPr>
            <w:r>
              <w:rPr>
                <w:rFonts w:ascii="Times New Roman" w:hAnsi="Times New Roman"/>
                <w:b w:val="0"/>
                <w:sz w:val="18"/>
              </w:rPr>
              <w:t>2</w:t>
            </w:r>
          </w:p>
        </w:tc>
        <w:tc>
          <w:tcPr>
            <w:tcW w:type="dxa" w:w="1710"/>
          </w:tcPr>
          <w:p>
            <w:pPr>
              <w:spacing w:before="20" w:after="20" w:line="240" w:lineRule="exact"/>
              <w:jc w:val="center"/>
            </w:pPr>
            <w:r>
              <w:rPr>
                <w:rFonts w:ascii="Times New Roman" w:hAnsi="Times New Roman"/>
                <w:b w:val="0"/>
                <w:sz w:val="18"/>
              </w:rPr>
              <w:t>xx/xx (xx.x)</w:t>
            </w:r>
          </w:p>
        </w:tc>
        <w:tc>
          <w:tcPr>
            <w:tcW w:type="dxa" w:w="1710"/>
          </w:tcPr>
          <w:p>
            <w:pPr>
              <w:spacing w:before="20" w:after="20" w:line="240" w:lineRule="exact"/>
              <w:jc w:val="center"/>
            </w:pPr>
            <w:r>
              <w:rPr>
                <w:rFonts w:ascii="Times New Roman" w:hAnsi="Times New Roman"/>
                <w:b w:val="0"/>
                <w:sz w:val="18"/>
              </w:rPr>
              <w:t>xx/xx (xx.x)</w:t>
            </w:r>
          </w:p>
        </w:tc>
        <w:tc>
          <w:tcPr>
            <w:tcW w:type="dxa" w:w="1710"/>
          </w:tcPr>
          <w:p>
            <w:pPr>
              <w:spacing w:before="20" w:after="20" w:line="240" w:lineRule="exact"/>
              <w:jc w:val="center"/>
            </w:pPr>
            <w:r>
              <w:rPr>
                <w:rFonts w:ascii="Times New Roman" w:hAnsi="Times New Roman"/>
                <w:b w:val="0"/>
                <w:sz w:val="18"/>
              </w:rPr>
              <w:t>...</w:t>
            </w:r>
          </w:p>
        </w:tc>
        <w:tc>
          <w:tcPr>
            <w:tcW w:type="dxa" w:w="1710"/>
          </w:tcPr>
          <w:p>
            <w:pPr>
              <w:spacing w:before="20" w:after="20" w:line="240" w:lineRule="exact"/>
              <w:jc w:val="center"/>
            </w:pPr>
            <w:r>
              <w:rPr>
                <w:rFonts w:ascii="Times New Roman" w:hAnsi="Times New Roman"/>
                <w:b w:val="0"/>
                <w:sz w:val="18"/>
              </w:rPr>
              <w:t>xx/xx (xx.x)</w:t>
            </w:r>
          </w:p>
        </w:tc>
      </w:tr>
      <w:tr>
        <w:tc>
          <w:tcPr>
            <w:tcW w:type="dxa" w:w="1710"/>
          </w:tcPr>
          <w:p>
            <w:pPr>
              <w:spacing w:before="20" w:after="20" w:line="240" w:lineRule="exact"/>
              <w:jc w:val="left"/>
            </w:pPr>
            <w:r>
              <w:rPr>
                <w:rFonts w:ascii="Times New Roman" w:hAnsi="Times New Roman"/>
                <w:b w:val="0"/>
                <w:sz w:val="18"/>
              </w:rPr>
              <w:t>ALT</w:t>
            </w:r>
          </w:p>
        </w:tc>
        <w:tc>
          <w:tcPr>
            <w:tcW w:type="dxa" w:w="1710"/>
          </w:tcPr>
          <w:p>
            <w:pPr>
              <w:spacing w:before="20" w:after="20" w:line="240" w:lineRule="exact"/>
              <w:jc w:val="center"/>
            </w:pPr>
            <w:r>
              <w:rPr>
                <w:rFonts w:ascii="Times New Roman" w:hAnsi="Times New Roman"/>
                <w:b w:val="0"/>
                <w:sz w:val="18"/>
              </w:rPr>
              <w:t>Cycle 1</w:t>
            </w:r>
          </w:p>
        </w:tc>
        <w:tc>
          <w:tcPr>
            <w:tcW w:type="dxa" w:w="1710"/>
          </w:tcPr>
          <w:p>
            <w:pPr>
              <w:spacing w:before="20" w:after="20" w:line="240" w:lineRule="exact"/>
              <w:jc w:val="center"/>
            </w:pPr>
            <w:r>
              <w:rPr>
                <w:rFonts w:ascii="Times New Roman" w:hAnsi="Times New Roman"/>
                <w:b w:val="0"/>
                <w:sz w:val="18"/>
              </w:rPr>
              <w:t>0-1</w:t>
            </w:r>
          </w:p>
        </w:tc>
        <w:tc>
          <w:tcPr>
            <w:tcW w:type="dxa" w:w="1710"/>
          </w:tcPr>
          <w:p>
            <w:pPr>
              <w:spacing w:before="20" w:after="20" w:line="240" w:lineRule="exact"/>
              <w:jc w:val="center"/>
            </w:pPr>
            <w:r>
              <w:rPr>
                <w:rFonts w:ascii="Times New Roman" w:hAnsi="Times New Roman"/>
                <w:b w:val="0"/>
                <w:sz w:val="18"/>
              </w:rPr>
              <w:t>3-4</w:t>
            </w:r>
          </w:p>
        </w:tc>
        <w:tc>
          <w:tcPr>
            <w:tcW w:type="dxa" w:w="1710"/>
          </w:tcPr>
          <w:p>
            <w:pPr>
              <w:spacing w:before="20" w:after="20" w:line="240" w:lineRule="exact"/>
              <w:jc w:val="center"/>
            </w:pPr>
            <w:r>
              <w:rPr>
                <w:rFonts w:ascii="Times New Roman" w:hAnsi="Times New Roman"/>
                <w:b w:val="0"/>
                <w:sz w:val="18"/>
              </w:rPr>
              <w:t>xx/xx (xx.x)</w:t>
            </w:r>
          </w:p>
        </w:tc>
        <w:tc>
          <w:tcPr>
            <w:tcW w:type="dxa" w:w="1710"/>
          </w:tcPr>
          <w:p>
            <w:pPr>
              <w:spacing w:before="20" w:after="20" w:line="240" w:lineRule="exact"/>
              <w:jc w:val="center"/>
            </w:pPr>
            <w:r>
              <w:rPr>
                <w:rFonts w:ascii="Times New Roman" w:hAnsi="Times New Roman"/>
                <w:b w:val="0"/>
                <w:sz w:val="18"/>
              </w:rPr>
              <w:t>xx/xx (xx.x)</w:t>
            </w:r>
          </w:p>
        </w:tc>
        <w:tc>
          <w:tcPr>
            <w:tcW w:type="dxa" w:w="1710"/>
          </w:tcPr>
          <w:p>
            <w:pPr>
              <w:spacing w:before="20" w:after="20" w:line="240" w:lineRule="exact"/>
              <w:jc w:val="center"/>
            </w:pPr>
            <w:r>
              <w:rPr>
                <w:rFonts w:ascii="Times New Roman" w:hAnsi="Times New Roman"/>
                <w:b w:val="0"/>
                <w:sz w:val="18"/>
              </w:rPr>
              <w:t>...</w:t>
            </w:r>
          </w:p>
        </w:tc>
        <w:tc>
          <w:tcPr>
            <w:tcW w:type="dxa" w:w="1710"/>
          </w:tcPr>
          <w:p>
            <w:pPr>
              <w:spacing w:before="20" w:after="20" w:line="240" w:lineRule="exact"/>
              <w:jc w:val="center"/>
            </w:pPr>
            <w:r>
              <w:rPr>
                <w:rFonts w:ascii="Times New Roman" w:hAnsi="Times New Roman"/>
                <w:b w:val="0"/>
                <w:sz w:val="18"/>
              </w:rPr>
              <w:t>xx/xx (xx.x)</w:t>
            </w:r>
          </w:p>
        </w:tc>
      </w:tr>
      <w:tr>
        <w:tc>
          <w:tcPr>
            <w:tcW w:type="dxa" w:w="1710"/>
          </w:tcPr>
          <w:p>
            <w:pPr>
              <w:spacing w:before="20" w:after="20" w:line="240" w:lineRule="exact"/>
              <w:jc w:val="left"/>
            </w:pPr>
            <w:r>
              <w:rPr>
                <w:rFonts w:ascii="Times New Roman" w:hAnsi="Times New Roman"/>
                <w:b w:val="0"/>
                <w:sz w:val="18"/>
              </w:rPr>
              <w:t>[Additional rows omitted in master shell]</w:t>
            </w:r>
          </w:p>
        </w:tc>
        <w:tc>
          <w:tcPr>
            <w:tcW w:type="dxa" w:w="1710"/>
          </w:tcPr>
          <w:p>
            <w:pPr>
              <w:spacing w:before="20" w:after="20" w:line="240" w:lineRule="exact"/>
              <w:jc w:val="center"/>
            </w:pPr>
            <w:r>
              <w:rPr>
                <w:rFonts w:ascii="Times New Roman" w:hAnsi="Times New Roman"/>
                <w:b w:val="0"/>
                <w:sz w:val="18"/>
              </w:rPr>
            </w:r>
          </w:p>
        </w:tc>
        <w:tc>
          <w:tcPr>
            <w:tcW w:type="dxa" w:w="1710"/>
          </w:tcPr>
          <w:p>
            <w:pPr>
              <w:spacing w:before="20" w:after="20" w:line="240" w:lineRule="exact"/>
              <w:jc w:val="center"/>
            </w:pPr>
            <w:r>
              <w:rPr>
                <w:rFonts w:ascii="Times New Roman" w:hAnsi="Times New Roman"/>
                <w:b w:val="0"/>
                <w:sz w:val="18"/>
              </w:rPr>
            </w:r>
          </w:p>
        </w:tc>
        <w:tc>
          <w:tcPr>
            <w:tcW w:type="dxa" w:w="1710"/>
          </w:tcPr>
          <w:p>
            <w:pPr>
              <w:spacing w:before="20" w:after="20" w:line="240" w:lineRule="exact"/>
              <w:jc w:val="center"/>
            </w:pPr>
            <w:r>
              <w:rPr>
                <w:rFonts w:ascii="Times New Roman" w:hAnsi="Times New Roman"/>
                <w:b w:val="0"/>
                <w:sz w:val="18"/>
              </w:rPr>
            </w:r>
          </w:p>
        </w:tc>
        <w:tc>
          <w:tcPr>
            <w:tcW w:type="dxa" w:w="1710"/>
          </w:tcPr>
          <w:p>
            <w:pPr>
              <w:spacing w:before="20" w:after="20" w:line="240" w:lineRule="exact"/>
              <w:jc w:val="center"/>
            </w:pPr>
            <w:r>
              <w:rPr>
                <w:rFonts w:ascii="Times New Roman" w:hAnsi="Times New Roman"/>
                <w:b w:val="0"/>
                <w:sz w:val="18"/>
              </w:rPr>
            </w:r>
          </w:p>
        </w:tc>
        <w:tc>
          <w:tcPr>
            <w:tcW w:type="dxa" w:w="1710"/>
          </w:tcPr>
          <w:p>
            <w:pPr>
              <w:spacing w:before="20" w:after="20" w:line="240" w:lineRule="exact"/>
              <w:jc w:val="center"/>
            </w:pPr>
            <w:r>
              <w:rPr>
                <w:rFonts w:ascii="Times New Roman" w:hAnsi="Times New Roman"/>
                <w:b w:val="0"/>
                <w:sz w:val="18"/>
              </w:rPr>
            </w:r>
          </w:p>
        </w:tc>
        <w:tc>
          <w:tcPr>
            <w:tcW w:type="dxa" w:w="1710"/>
          </w:tcPr>
          <w:p>
            <w:pPr>
              <w:spacing w:before="20" w:after="20" w:line="240" w:lineRule="exact"/>
              <w:jc w:val="center"/>
            </w:pPr>
            <w:r>
              <w:rPr>
                <w:rFonts w:ascii="Times New Roman" w:hAnsi="Times New Roman"/>
                <w:b w:val="0"/>
                <w:sz w:val="18"/>
              </w:rPr>
            </w:r>
          </w:p>
        </w:tc>
        <w:tc>
          <w:tcPr>
            <w:tcW w:type="dxa" w:w="171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Abbreviations: BL = baseline; ALT = alanine aminotransferase.</w:t>
      </w:r>
    </w:p>
    <w:p>
      <w:pPr>
        <w:spacing w:before="0" w:after="0"/>
      </w:pPr>
      <w:r>
        <w:rPr>
          <w:rFonts w:ascii="Times New Roman" w:hAnsi="Times New Roman"/>
          <w:i/>
          <w:sz w:val="16"/>
        </w:rPr>
        <w:t>[3] Statistical definitions: Percentages use subjects evaluable at the corresponding visit or cycle within each treatment group unless otherwise specified. Descriptive statistics are calculated from non-missing observations unless the SAP states otherwise.</w:t>
      </w:r>
    </w:p>
    <w:p>
      <w:pPr>
        <w:spacing w:before="0" w:after="0"/>
      </w:pPr>
      <w:r>
        <w:rPr>
          <w:rFonts w:ascii="Times New Roman" w:hAnsi="Times New Roman"/>
          <w:i/>
          <w:sz w:val="16"/>
        </w:rPr>
        <w:t>[4] Dataset: ADSL, ADLB. Program: t_lab_shift_cycle.sas.</w:t>
      </w:r>
    </w:p>
    <w:p>
      <w:pPr>
        <w:spacing w:before="0" w:after="0"/>
      </w:pPr>
      <w:r>
        <w:rPr>
          <w:rFonts w:ascii="Times New Roman" w:hAnsi="Times New Roman"/>
          <w:i/>
          <w:sz w:val="16"/>
        </w:rPr>
        <w:t>[5]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14.3.3.6  Laboratory Parameters — Descriptive Statistics and Change from Baseline by Visit</w:t>
      </w:r>
      <w:r>
        <w:bookmarkStart w:id="0" w:name="T14.3.3.6"/>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HEMATOLOGY</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120" w:after="20" w:line="240" w:lineRule="exact"/>
              <w:jc w:val="left"/>
            </w:pPr>
            <w:r>
              <w:rPr>
                <w:rFonts w:ascii="Times New Roman" w:hAnsi="Times New Roman"/>
                <w:b/>
                <w:sz w:val="18"/>
              </w:rPr>
              <w:t>Hemoglobin (g/L)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n</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w:t>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n</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12</w:t>
            </w:r>
          </w:p>
        </w:tc>
        <w:tc>
          <w:tcPr>
            <w:tcW w:type="dxa" w:w="2280"/>
          </w:tcPr>
          <w:p>
            <w:pPr>
              <w:spacing w:before="0" w:after="20" w:line="240" w:lineRule="exact"/>
              <w:jc w:val="center"/>
            </w:pPr>
            <w:r>
              <w:rPr>
                <w:rFonts w:ascii="Times New Roman" w:hAnsi="Times New Roman"/>
                <w:b w:val="0"/>
                <w:sz w:val="18"/>
              </w:rPr>
              <w:t>n</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w:t>
            </w:r>
          </w:p>
        </w:tc>
      </w:tr>
      <w:tr>
        <w:tc>
          <w:tcPr>
            <w:tcW w:type="dxa" w:w="2280"/>
          </w:tcPr>
          <w:p>
            <w:pPr>
              <w:spacing w:before="0" w:after="20" w:line="240" w:lineRule="exact"/>
              <w:jc w:val="left"/>
            </w:pPr>
            <w:r>
              <w:rPr>
                <w:rFonts w:ascii="Times New Roman" w:hAnsi="Times New Roman"/>
                <w:b w:val="0"/>
                <w:sz w:val="18"/>
              </w:rPr>
              <w:t xml:space="preserve">    Week 12</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12</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Platelets (10⁹/L)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LIVER FUNCTION TESTS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120" w:after="20" w:line="240" w:lineRule="exact"/>
              <w:jc w:val="left"/>
            </w:pPr>
            <w:r>
              <w:rPr>
                <w:rFonts w:ascii="Times New Roman" w:hAnsi="Times New Roman"/>
                <w:b/>
                <w:sz w:val="18"/>
              </w:rPr>
              <w:t>ALT (U/L)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n</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w:t>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12</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AST (U/L)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Total Bilirubin (µmol/L)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RENAL FUNCTION</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120" w:after="20" w:line="240" w:lineRule="exact"/>
              <w:jc w:val="left"/>
            </w:pPr>
            <w:r>
              <w:rPr>
                <w:rFonts w:ascii="Times New Roman" w:hAnsi="Times New Roman"/>
                <w:b/>
                <w:sz w:val="18"/>
              </w:rPr>
              <w:t>Creatinine (µmol/L)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ELECTROLYTES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120" w:after="20" w:line="240" w:lineRule="exact"/>
              <w:jc w:val="left"/>
            </w:pPr>
            <w:r>
              <w:rPr>
                <w:rFonts w:ascii="Times New Roman" w:hAnsi="Times New Roman"/>
                <w:b/>
                <w:sz w:val="18"/>
              </w:rPr>
              <w:t>Sodium (mmol/L)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Potassium (mmol/L)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Baseline = last non-missing assessment on or before first dose date.</w:t>
      </w:r>
    </w:p>
    <w:p>
      <w:pPr>
        <w:spacing w:before="0" w:after="0"/>
      </w:pPr>
      <w:r>
        <w:rPr>
          <w:rFonts w:ascii="Times New Roman" w:hAnsi="Times New Roman"/>
          <w:i/>
          <w:sz w:val="16"/>
        </w:rPr>
        <w:t>[3] Change from Baseline = Visit value - Baseline value. for grading.</w:t>
      </w:r>
    </w:p>
    <w:p>
      <w:pPr>
        <w:spacing w:before="0" w:after="0"/>
      </w:pPr>
      <w:r>
        <w:rPr>
          <w:rFonts w:ascii="Times New Roman" w:hAnsi="Times New Roman"/>
          <w:i/>
          <w:sz w:val="16"/>
        </w:rPr>
        <w:t>[4] Full visit schedule: Screening, Baseline, Week 2, 4, 8, 12, 16, 20, 24, End of Treatment, Follow-up.</w:t>
      </w:r>
    </w:p>
    <w:p>
      <w:pPr>
        <w:spacing w:before="0" w:after="0"/>
      </w:pPr>
      <w:r>
        <w:rPr>
          <w:rFonts w:ascii="Times New Roman" w:hAnsi="Times New Roman"/>
          <w:i/>
          <w:sz w:val="16"/>
        </w:rPr>
        <w:t>[5] Abbreviations: CTCAE = Common Terminology Criteria for Adverse Events; ALT = alanine aminotransferase; AST = aspartate aminotransferase.</w:t>
      </w:r>
    </w:p>
    <w:p>
      <w:pPr>
        <w:spacing w:before="0" w:after="0"/>
      </w:pPr>
      <w:r>
        <w:rPr>
          <w:rFonts w:ascii="Times New Roman" w:hAnsi="Times New Roman"/>
          <w:i/>
          <w:sz w:val="16"/>
        </w:rPr>
        <w:t>[6] Dataset: ADSL, ADLB. Program: t_lab_chg_bl.sas.</w:t>
      </w:r>
    </w:p>
    <w:p>
      <w:pPr>
        <w:spacing w:before="0" w:after="0"/>
      </w:pPr>
      <w:r>
        <w:rPr>
          <w:rFonts w:ascii="Times New Roman" w:hAnsi="Times New Roman"/>
          <w:i/>
          <w:sz w:val="16"/>
        </w:rPr>
        <w:t>[7]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14.3.3.7  Laboratory Parameters — CTCAE Grade Shift (Baseline to Worst Post-Baseline)</w:t>
      </w:r>
      <w:r>
        <w:bookmarkStart w:id="0" w:name="T14.3.3.7"/>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Baseline Grade</w:t>
            </w:r>
          </w:p>
        </w:tc>
        <w:tc>
          <w:tcPr>
            <w:tcW w:type="dxa" w:w="2280"/>
            <w:shd w:fill="F2F2F2" w:val="clear"/>
            <w:tcBorders>
              <w:bottom w:val="single" w:sz="4" w:space="0" w:color="000000"/>
            </w:tcBorders>
          </w:tcPr>
          <w:p>
            <w:pPr>
              <w:jc w:val="center"/>
            </w:pPr>
            <w:r>
              <w:rPr>
                <w:rFonts w:ascii="Times New Roman" w:hAnsi="Times New Roman"/>
                <w:b/>
                <w:sz w:val="18"/>
              </w:rPr>
              <w:t>Worst Post-BL Grade</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280"/>
          </w:tcPr>
          <w:p>
            <w:pPr>
              <w:spacing w:before="120" w:after="20" w:line="240" w:lineRule="exact"/>
              <w:jc w:val="left"/>
            </w:pPr>
            <w:r>
              <w:rPr>
                <w:rFonts w:ascii="Times New Roman" w:hAnsi="Times New Roman"/>
                <w:b/>
                <w:sz w:val="18"/>
              </w:rPr>
              <w:t>Hemoglobin (Anemia)</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w:t>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0</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1</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2</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3-4</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1</w:t>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1</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2</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3-4</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Neutrophils (Neutropenia)</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w:t>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1-2</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3</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To Grade 4</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Platelets (Thrombocytopenia)</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 to Grade 1-2</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0 to Grade 3-4</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ALT</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 to Grade 1</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0 to Grade 2</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0 to Grade 3-4</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AST</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 to Grade 3-4</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Creatinine</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 to Grade 1-2</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0 to Grade 3-4</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for grading. Baseline = last assessment before first dose. Worst post-baseline = highest grade on treatment.</w:t>
      </w:r>
    </w:p>
    <w:p>
      <w:pPr>
        <w:spacing w:before="0" w:after="0"/>
      </w:pPr>
      <w:r>
        <w:rPr>
          <w:rFonts w:ascii="Times New Roman" w:hAnsi="Times New Roman"/>
          <w:i/>
          <w:sz w:val="16"/>
        </w:rPr>
        <w:t>[3] Percentages based on number of subjects with both baseline and at least one post-baseline assessment.</w:t>
      </w:r>
    </w:p>
    <w:p>
      <w:pPr>
        <w:spacing w:before="0" w:after="0"/>
      </w:pPr>
      <w:r>
        <w:rPr>
          <w:rFonts w:ascii="Times New Roman" w:hAnsi="Times New Roman"/>
          <w:i/>
          <w:sz w:val="16"/>
        </w:rPr>
        <w:t>[4] Abbreviations: CTCAE = Common Terminology Criteria for Adverse Events; BL = baseline; ALT = alanine aminotransferase; AST = aspartate aminotransferase.</w:t>
      </w:r>
    </w:p>
    <w:p>
      <w:pPr>
        <w:spacing w:before="0" w:after="0"/>
      </w:pPr>
      <w:r>
        <w:rPr>
          <w:rFonts w:ascii="Times New Roman" w:hAnsi="Times New Roman"/>
          <w:i/>
          <w:sz w:val="16"/>
        </w:rPr>
        <w:t>[5] Statistical definitions: Percentages use the number of subjects in the Safety Population within each treatment group unless otherwise specified.</w:t>
      </w:r>
    </w:p>
    <w:p>
      <w:pPr>
        <w:spacing w:before="0" w:after="0"/>
      </w:pPr>
      <w:r>
        <w:rPr>
          <w:rFonts w:ascii="Times New Roman" w:hAnsi="Times New Roman"/>
          <w:i/>
          <w:sz w:val="16"/>
        </w:rPr>
        <w:t>[6] Dataset: ADSL, ADLB. Program: t_lab_grade_shift.sas.</w:t>
      </w:r>
    </w:p>
    <w:p>
      <w:pPr>
        <w:spacing w:before="0" w:after="0"/>
      </w:pPr>
      <w:r>
        <w:rPr>
          <w:rFonts w:ascii="Times New Roman" w:hAnsi="Times New Roman"/>
          <w:i/>
          <w:sz w:val="16"/>
        </w:rPr>
        <w:t>[7]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14.3.3.8  Laboratory Parameters — Clinically Significant Abnormalities Summary</w:t>
      </w:r>
      <w:r>
        <w:bookmarkStart w:id="0" w:name="T14.3.3.8"/>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 (Unit)</w:t>
            </w:r>
          </w:p>
          <w:p>
            <w:pPr>
              <w:spacing w:before="0" w:after="0"/>
              <w:jc w:val="left"/>
            </w:pPr>
            <w:r>
              <w:rPr>
                <w:rFonts w:ascii="Times New Roman" w:hAnsi="Times New Roman"/>
                <w:b/>
                <w:sz w:val="18"/>
              </w:rPr>
              <w:t>Direction / Criterion</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n/N1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n/N2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736"/>
          </w:tcPr>
          <w:p>
            <w:pPr>
              <w:spacing w:before="120" w:after="20" w:line="240" w:lineRule="exact"/>
              <w:jc w:val="left"/>
            </w:pPr>
            <w:r>
              <w:rPr>
                <w:rFonts w:ascii="Times New Roman" w:hAnsi="Times New Roman"/>
                <w:b/>
                <w:sz w:val="18"/>
              </w:rPr>
              <w:t>HEMATOLOGY</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Hemoglobin (g/L)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Grade 3-4 (&lt;80 g/L)</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Decrease from BL &gt;=20 g/L</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Neutrophils (10⁹/L)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Grade 3-4 (&lt;1.0 ×10⁹/L)</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Platelets (10⁹/L)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Grade 3-4 (&lt;50 ×10⁹/L)</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LIVER FUNCTION</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ALT (U/L)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&gt;=3 × ULN</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&gt;=5 × ULN</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&gt;=10 × ULN</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&gt;=20 × ULN</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Total Bilirubin (µmol/L)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&gt;=2 × ULN</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RENAL FUNCTION</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Creatinine (µmol/L)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&gt;=1.5 × Baseline</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&gt;=2 × Baseline</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eGFR (mL/min/1.73m²)</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&lt;60 (Grade 2)</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&lt;30 (Grade 4)</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N1/N2 = number of subjects with non-missing baseline and &gt;=1 post-baseline assessment.</w:t>
      </w:r>
    </w:p>
    <w:p>
      <w:pPr>
        <w:spacing w:before="0" w:after="0"/>
      </w:pPr>
      <w:r>
        <w:rPr>
          <w:rFonts w:ascii="Times New Roman" w:hAnsi="Times New Roman"/>
          <w:i/>
          <w:sz w:val="16"/>
        </w:rPr>
        <w:t>[3] Percentages based on N1/N2 per arm. Criteria based on protocol-defined thresholds and CTCAE grading.</w:t>
      </w:r>
    </w:p>
    <w:p>
      <w:pPr>
        <w:spacing w:before="0" w:after="0"/>
      </w:pPr>
      <w:r>
        <w:rPr>
          <w:rFonts w:ascii="Times New Roman" w:hAnsi="Times New Roman"/>
          <w:i/>
          <w:sz w:val="16"/>
        </w:rPr>
        <w:t>[4] Abbreviations: CTCAE = Common Terminology Criteria for Adverse Events; BL = baseline; ALT = alanine aminotransferase; ULN = upper limit of normal; eGFR = estimated glomerular filtration rate.</w:t>
      </w:r>
    </w:p>
    <w:p>
      <w:pPr>
        <w:spacing w:before="0" w:after="0"/>
      </w:pPr>
      <w:r>
        <w:rPr>
          <w:rFonts w:ascii="Times New Roman" w:hAnsi="Times New Roman"/>
          <w:i/>
          <w:sz w:val="16"/>
        </w:rPr>
        <w:t>[5] Statistical definitions: Percentages use the stated analysis population within each treatment group unless otherwise specified.</w:t>
      </w:r>
    </w:p>
    <w:p>
      <w:pPr>
        <w:spacing w:before="0" w:after="0"/>
      </w:pPr>
      <w:r>
        <w:rPr>
          <w:rFonts w:ascii="Times New Roman" w:hAnsi="Times New Roman"/>
          <w:i/>
          <w:sz w:val="16"/>
        </w:rPr>
        <w:t>[6] Dataset: ADSL, ADLB. Program: t_lab_cs_abn.sas.</w:t>
      </w:r>
    </w:p>
    <w:p>
      <w:pPr>
        <w:spacing w:before="0" w:after="0"/>
      </w:pPr>
      <w:r>
        <w:rPr>
          <w:rFonts w:ascii="Times New Roman" w:hAnsi="Times New Roman"/>
          <w:i/>
          <w:sz w:val="16"/>
        </w:rPr>
        <w:t>[7]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14.3.3.9  Hematology — Shift Table by CTCAE Grade (Baseline to Worst Post-Baseline) — Detailed</w:t>
      </w:r>
      <w:r>
        <w:bookmarkStart w:id="0" w:name="T14.3.3.9"/>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Baseline Grade</w:t>
            </w:r>
          </w:p>
        </w:tc>
        <w:tc>
          <w:tcPr>
            <w:tcW w:type="dxa" w:w="2280"/>
            <w:shd w:fill="F2F2F2" w:val="clear"/>
            <w:tcBorders>
              <w:bottom w:val="single" w:sz="4" w:space="0" w:color="000000"/>
            </w:tcBorders>
          </w:tcPr>
          <w:p>
            <w:pPr>
              <w:spacing w:before="0" w:after="0"/>
              <w:jc w:val="center"/>
            </w:pPr>
            <w:r>
              <w:rPr>
                <w:rFonts w:ascii="Times New Roman" w:hAnsi="Times New Roman"/>
                <w:b/>
                <w:sz w:val="18"/>
              </w:rPr>
              <w:t>Worst Post-BL</w:t>
            </w:r>
          </w:p>
          <w:p>
            <w:pPr>
              <w:spacing w:before="0" w:after="0"/>
              <w:jc w:val="center"/>
            </w:pPr>
            <w:r>
              <w:rPr>
                <w:rFonts w:ascii="Times New Roman" w:hAnsi="Times New Roman"/>
                <w:b/>
                <w:sz w:val="18"/>
              </w:rPr>
              <w:t>Grade</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280"/>
          </w:tcPr>
          <w:p>
            <w:pPr>
              <w:spacing w:before="120" w:after="20" w:line="240" w:lineRule="exact"/>
              <w:jc w:val="left"/>
            </w:pPr>
            <w:r>
              <w:rPr>
                <w:rFonts w:ascii="Times New Roman" w:hAnsi="Times New Roman"/>
                <w:b/>
                <w:sz w:val="18"/>
              </w:rPr>
              <w:t>Hemoglobin — Anemia</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w:t>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Remained Grade 0</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Worsened to Grade 1</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Worsened to Grade 2</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Worsened to Grade 3-4</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1-2 at Baseline</w:t>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Improved to Grade 0</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Remained Grade 1-2</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Worsened to Grade 3-4</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Neutrophils — Neutropenia</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 to Grade 1-2</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0 to Grade 3</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0 to Grade 4</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Platelets — Thrombocytopenia</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Grade 0 to Grade 1-2</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Grade 0 to Grade 3-4</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N = subjects with both baseline and &gt;=1 post-baseline assessment.</w:t>
      </w:r>
    </w:p>
    <w:p>
      <w:pPr>
        <w:spacing w:before="0" w:after="0"/>
      </w:pPr>
      <w:r>
        <w:rPr>
          <w:rFonts w:ascii="Times New Roman" w:hAnsi="Times New Roman"/>
          <w:i/>
          <w:sz w:val="16"/>
        </w:rPr>
        <w:t>[3] Worst post-baseline = maximum CTCAE grade on treatment.</w:t>
      </w:r>
    </w:p>
    <w:p>
      <w:pPr>
        <w:spacing w:before="0" w:after="0"/>
      </w:pPr>
      <w:r>
        <w:rPr>
          <w:rFonts w:ascii="Times New Roman" w:hAnsi="Times New Roman"/>
          <w:i/>
          <w:sz w:val="16"/>
        </w:rPr>
        <w:t>[4] Abbreviations: CTCAE = Common Terminology Criteria for Adverse Events; BL = baseline.</w:t>
      </w:r>
    </w:p>
    <w:p>
      <w:pPr>
        <w:spacing w:before="0" w:after="0"/>
      </w:pPr>
      <w:r>
        <w:rPr>
          <w:rFonts w:ascii="Times New Roman" w:hAnsi="Times New Roman"/>
          <w:i/>
          <w:sz w:val="16"/>
        </w:rPr>
        <w:t>[5] Statistical definitions: Percentages use the number of subjects in the Safety Population within each treatment group unless otherwise specified.</w:t>
      </w:r>
    </w:p>
    <w:p>
      <w:pPr>
        <w:spacing w:before="0" w:after="0"/>
      </w:pPr>
      <w:r>
        <w:rPr>
          <w:rFonts w:ascii="Times New Roman" w:hAnsi="Times New Roman"/>
          <w:i/>
          <w:sz w:val="16"/>
        </w:rPr>
        <w:t>[6] Dataset: ADSL, ADLB. Program: t_heme_shift_detail.sas.</w:t>
      </w:r>
    </w:p>
    <w:p>
      <w:pPr>
        <w:spacing w:before="0" w:after="0"/>
      </w:pPr>
      <w:r>
        <w:rPr>
          <w:rFonts w:ascii="Times New Roman" w:hAnsi="Times New Roman"/>
          <w:i/>
          <w:sz w:val="16"/>
        </w:rPr>
        <w:t>[7]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14.3.3.10  Clinical Chemistry — Shift Table (Normal Range Based) — Baseline to Worst Post-Baseline</w:t>
      </w:r>
      <w:r>
        <w:bookmarkStart w:id="0" w:name="T14.3.3.10"/>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 (Unit)</w:t>
            </w:r>
          </w:p>
          <w:p>
            <w:pPr>
              <w:spacing w:before="0" w:after="0"/>
              <w:jc w:val="left"/>
            </w:pPr>
            <w:r>
              <w:rPr>
                <w:rFonts w:ascii="Times New Roman" w:hAnsi="Times New Roman"/>
                <w:b/>
                <w:sz w:val="18"/>
              </w:rPr>
              <w:t>Baseline Category</w:t>
            </w:r>
          </w:p>
        </w:tc>
        <w:tc>
          <w:tcPr>
            <w:tcW w:type="dxa" w:w="2280"/>
            <w:shd w:fill="F2F2F2" w:val="clear"/>
            <w:tcBorders>
              <w:bottom w:val="single" w:sz="4" w:space="0" w:color="000000"/>
            </w:tcBorders>
          </w:tcPr>
          <w:p>
            <w:pPr>
              <w:jc w:val="center"/>
            </w:pPr>
            <w:r>
              <w:rPr>
                <w:rFonts w:ascii="Times New Roman" w:hAnsi="Times New Roman"/>
                <w:b/>
                <w:sz w:val="18"/>
              </w:rPr>
              <w:t>Worst Post-BL Category</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280"/>
          </w:tcPr>
          <w:p>
            <w:pPr>
              <w:spacing w:before="120" w:after="20" w:line="240" w:lineRule="exact"/>
              <w:jc w:val="left"/>
            </w:pPr>
            <w:r>
              <w:rPr>
                <w:rFonts w:ascii="Times New Roman" w:hAnsi="Times New Roman"/>
                <w:b/>
                <w:sz w:val="18"/>
              </w:rPr>
              <w:t>ALT (U/L)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Normal</w:t>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Normal</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&gt;1-3 × ULN</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&gt;3-5 × ULN</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&gt;5 × ULN</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AST (U/L)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Normal → &gt;3 × ULN</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Total Bilirubin (µmol/L)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Normal → &gt;1.5 × ULN</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Normal → &gt;2 × ULN</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Creatinine (µmol/L)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Normal → &gt;1.5 × BL</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Normal range per central laboratory reference ranges. BL = Baseline. ULN = Upper Limit of Normal.</w:t>
      </w:r>
    </w:p>
    <w:p>
      <w:pPr>
        <w:spacing w:before="0" w:after="0"/>
      </w:pPr>
      <w:r>
        <w:rPr>
          <w:rFonts w:ascii="Times New Roman" w:hAnsi="Times New Roman"/>
          <w:i/>
          <w:sz w:val="16"/>
        </w:rPr>
        <w:t>[3] Percentages based on subjects with non-missing baseline and &gt;=1 post-baseline result.</w:t>
      </w:r>
    </w:p>
    <w:p>
      <w:pPr>
        <w:spacing w:before="0" w:after="0"/>
      </w:pPr>
      <w:r>
        <w:rPr>
          <w:rFonts w:ascii="Times New Roman" w:hAnsi="Times New Roman"/>
          <w:i/>
          <w:sz w:val="16"/>
        </w:rPr>
        <w:t>[4] Abbreviations: BL = baseline; ALT = alanine aminotransferase; AST = aspartate aminotransferase; ULN = upper limit of normal.</w:t>
      </w:r>
    </w:p>
    <w:p>
      <w:pPr>
        <w:spacing w:before="0" w:after="0"/>
      </w:pPr>
      <w:r>
        <w:rPr>
          <w:rFonts w:ascii="Times New Roman" w:hAnsi="Times New Roman"/>
          <w:i/>
          <w:sz w:val="16"/>
        </w:rPr>
        <w:t>[5] Statistical definitions: Percentages use the stated analysis population within each treatment group unless otherwise specified.</w:t>
      </w:r>
    </w:p>
    <w:p>
      <w:pPr>
        <w:spacing w:before="0" w:after="0"/>
      </w:pPr>
      <w:r>
        <w:rPr>
          <w:rFonts w:ascii="Times New Roman" w:hAnsi="Times New Roman"/>
          <w:i/>
          <w:sz w:val="16"/>
        </w:rPr>
        <w:t>[6] Dataset: ADSL, ADLB. Program: t_chem_shift_nr.sas.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14.3.3.11  Laboratory Parameters — Worst Post-Baseline Value by Visit Group</w:t>
      </w:r>
      <w:r>
        <w:bookmarkStart w:id="0" w:name="T14.3.3.11"/>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 (Unit)</w:t>
            </w:r>
          </w:p>
          <w:p>
            <w:pPr>
              <w:spacing w:before="0" w:after="0"/>
              <w:jc w:val="left"/>
            </w:pPr>
            <w:r>
              <w:rPr>
                <w:rFonts w:ascii="Times New Roman" w:hAnsi="Times New Roman"/>
                <w:b/>
                <w:sz w:val="18"/>
              </w:rPr>
              <w:t>Visit Group</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HEMATOLOGY</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120" w:after="20" w:line="240" w:lineRule="exact"/>
              <w:jc w:val="left"/>
            </w:pPr>
            <w:r>
              <w:rPr>
                <w:rFonts w:ascii="Times New Roman" w:hAnsi="Times New Roman"/>
                <w:b/>
                <w:sz w:val="18"/>
              </w:rPr>
              <w:t>Hemoglobin (g/L)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Early (Wk 1-4)</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Mid (Wk 5-12)</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Late (Wk &gt;=13)</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Platelets (10⁹/L)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Early (Wk 1-4)</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Late (Wk &gt;=13)</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LIVER FUNCTION</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120" w:after="20" w:line="240" w:lineRule="exact"/>
              <w:jc w:val="left"/>
            </w:pPr>
            <w:r>
              <w:rPr>
                <w:rFonts w:ascii="Times New Roman" w:hAnsi="Times New Roman"/>
                <w:b/>
                <w:sz w:val="18"/>
              </w:rPr>
              <w:t>ALT (U/L)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Early (Wk 1-4)</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Mid (Wk 5-12)</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Late (Wk &gt;=13)</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RENAL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120" w:after="20" w:line="240" w:lineRule="exact"/>
              <w:jc w:val="left"/>
            </w:pPr>
            <w:r>
              <w:rPr>
                <w:rFonts w:ascii="Times New Roman" w:hAnsi="Times New Roman"/>
                <w:b/>
                <w:sz w:val="18"/>
              </w:rPr>
              <w:t>Creatinine (µmol/L)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Early (Wk 1-4)</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Late (Wk &gt;=13)</w:t>
            </w:r>
          </w:p>
        </w:tc>
        <w:tc>
          <w:tcPr>
            <w:tcW w:type="dxa" w:w="2280"/>
          </w:tcPr>
          <w:p>
            <w:pPr>
              <w:spacing w:before="0" w:after="20" w:line="240" w:lineRule="exact"/>
              <w:jc w:val="center"/>
            </w:pPr>
            <w:r>
              <w:rPr>
                <w:rFonts w:ascii="Times New Roman" w:hAnsi="Times New Roman"/>
                <w:b w:val="0"/>
                <w:sz w:val="18"/>
              </w:rPr>
              <w:t>Worst,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Worst post-baseline = minimum (for Hgb/Plt) or maximum (for ALT/AST/Cr) value in each time window.</w:t>
      </w:r>
    </w:p>
    <w:p>
      <w:pPr>
        <w:spacing w:before="0" w:after="0"/>
      </w:pPr>
      <w:r>
        <w:rPr>
          <w:rFonts w:ascii="Times New Roman" w:hAnsi="Times New Roman"/>
          <w:i/>
          <w:sz w:val="16"/>
        </w:rPr>
        <w:t>[3] Early = Week 1-4, Mid = Week 5-12, Late = Week &gt;=13.</w:t>
      </w:r>
    </w:p>
    <w:p>
      <w:pPr>
        <w:spacing w:before="0" w:after="0"/>
      </w:pPr>
      <w:r>
        <w:rPr>
          <w:rFonts w:ascii="Times New Roman" w:hAnsi="Times New Roman"/>
          <w:i/>
          <w:sz w:val="16"/>
        </w:rPr>
        <w:t>[4] Abbreviations: Wk = week; ALT = alanine aminotransferase; AST = aspartate aminotransferase.</w:t>
      </w:r>
    </w:p>
    <w:p>
      <w:pPr>
        <w:spacing w:before="0" w:after="0"/>
      </w:pPr>
      <w:r>
        <w:rPr>
          <w:rFonts w:ascii="Times New Roman" w:hAnsi="Times New Roman"/>
          <w:i/>
          <w:sz w:val="16"/>
        </w:rPr>
        <w:t>[5] Dataset: ADSL, ADLB. Program: t_lab_worst_visit.sas.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14.3.3.12  Coagulation Panel (PT, INR, aPTT) — Change from Baseline by Visit</w:t>
      </w:r>
      <w:r>
        <w:bookmarkStart w:id="0" w:name="T14.3.3.12"/>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Prothrombin Time (PT, 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INR</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aPTT (s)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L16.2.26</w:t>
      </w:r>
    </w:p>
    <w:p>
      <w:pPr>
        <w:spacing w:before="0" w:after="0"/>
      </w:pPr>
      <w:r>
        <w:rPr>
          <w:rFonts w:ascii="Times New Roman" w:hAnsi="Times New Roman"/>
          <w:i/>
          <w:sz w:val="16"/>
        </w:rPr>
        <w:t>[2] PT/INR/aPTT per central laboratory. Listing: L16.2.26.</w:t>
      </w:r>
    </w:p>
    <w:p>
      <w:pPr>
        <w:spacing w:before="0" w:after="0"/>
      </w:pPr>
      <w:r>
        <w:rPr>
          <w:rFonts w:ascii="Times New Roman" w:hAnsi="Times New Roman"/>
          <w:i/>
          <w:sz w:val="16"/>
        </w:rPr>
        <w:t>[3] Abbreviations: PT = preferred term; INR = international normalized ratio.</w:t>
      </w:r>
    </w:p>
    <w:p>
      <w:pPr>
        <w:spacing w:before="0" w:after="0"/>
      </w:pPr>
      <w:r>
        <w:rPr>
          <w:rFonts w:ascii="Times New Roman" w:hAnsi="Times New Roman"/>
          <w:i/>
          <w:sz w:val="16"/>
        </w:rPr>
        <w:t>[4] Dataset: ADSL, ADLB. Program: t_coag_chg.sas.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14.3.3.13  Coagulation Panel — Shift Table (Normal / Prolonged, Baseline to Worst Post-BL)</w:t>
      </w:r>
      <w:r>
        <w:bookmarkStart w:id="0" w:name="T14.3.3.13"/>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Baseline</w:t>
            </w:r>
          </w:p>
        </w:tc>
        <w:tc>
          <w:tcPr>
            <w:tcW w:type="dxa" w:w="2280"/>
            <w:shd w:fill="F2F2F2" w:val="clear"/>
            <w:tcBorders>
              <w:bottom w:val="single" w:sz="4" w:space="0" w:color="000000"/>
            </w:tcBorders>
          </w:tcPr>
          <w:p>
            <w:pPr>
              <w:jc w:val="center"/>
            </w:pPr>
            <w:r>
              <w:rPr>
                <w:rFonts w:ascii="Times New Roman" w:hAnsi="Times New Roman"/>
                <w:b/>
                <w:sz w:val="18"/>
              </w:rPr>
              <w:t>Worst Post-BL</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280"/>
          </w:tcPr>
          <w:p>
            <w:pPr>
              <w:spacing w:before="120" w:after="20" w:line="240" w:lineRule="exact"/>
              <w:jc w:val="left"/>
            </w:pPr>
            <w:r>
              <w:rPr>
                <w:rFonts w:ascii="Times New Roman" w:hAnsi="Times New Roman"/>
                <w:b/>
                <w:sz w:val="18"/>
              </w:rPr>
              <w:t>PT</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Normal</w:t>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Normal</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Prolonged (&gt;ULN)</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aPTT</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Normal → Prolonged (&gt;ULN)</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L16.2.26</w:t>
      </w:r>
    </w:p>
    <w:p>
      <w:pPr>
        <w:spacing w:before="0" w:after="0"/>
      </w:pPr>
      <w:r>
        <w:rPr>
          <w:rFonts w:ascii="Times New Roman" w:hAnsi="Times New Roman"/>
          <w:i/>
          <w:sz w:val="16"/>
        </w:rPr>
        <w:t>[2] Abbreviations: PT = preferred term; BL = baseline; ULN = upper limit of normal.</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ADSL, ADLB. Program: t_coag_shift.sas.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14.3.3.14  Urinalysis — Dipstick Parameters Shift (Baseline to Worst Post-Baseline)</w:t>
      </w:r>
      <w:r>
        <w:bookmarkStart w:id="0" w:name="T14.3.3.14"/>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Baseline Result</w:t>
            </w:r>
          </w:p>
        </w:tc>
        <w:tc>
          <w:tcPr>
            <w:tcW w:type="dxa" w:w="2280"/>
            <w:shd w:fill="F2F2F2" w:val="clear"/>
            <w:tcBorders>
              <w:bottom w:val="single" w:sz="4" w:space="0" w:color="000000"/>
            </w:tcBorders>
          </w:tcPr>
          <w:p>
            <w:pPr>
              <w:jc w:val="center"/>
            </w:pPr>
            <w:r>
              <w:rPr>
                <w:rFonts w:ascii="Times New Roman" w:hAnsi="Times New Roman"/>
                <w:b/>
                <w:sz w:val="18"/>
              </w:rPr>
              <w:t>Worst Post-BL Result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280"/>
          </w:tcPr>
          <w:p>
            <w:pPr>
              <w:spacing w:before="120" w:after="20" w:line="240" w:lineRule="exact"/>
              <w:jc w:val="left"/>
            </w:pPr>
            <w:r>
              <w:rPr>
                <w:rFonts w:ascii="Times New Roman" w:hAnsi="Times New Roman"/>
                <w:b/>
                <w:sz w:val="18"/>
              </w:rPr>
              <w:t>pH</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Normal (5.0-8.0) → Abnormal</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Protein</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Negative → Trace/+</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0" w:after="20" w:line="240" w:lineRule="exact"/>
              <w:jc w:val="left"/>
            </w:pPr>
            <w:r>
              <w:rPr>
                <w:rFonts w:ascii="Times New Roman" w:hAnsi="Times New Roman"/>
                <w:b w:val="0"/>
                <w:sz w:val="18"/>
              </w:rPr>
              <w:t xml:space="preserve">      Negative → ++/+++</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Glucose</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Negative → Positive</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Blood</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Negative → Positive</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Ketones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Negative → Positive</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xx/xx (xx.x)</w:t>
            </w:r>
          </w:p>
        </w:tc>
        <w:tc>
          <w:tcPr>
            <w:tcW w:type="dxa" w:w="2280"/>
          </w:tcPr>
          <w:p>
            <w:pPr>
              <w:spacing w:before="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L16.2.25</w:t>
      </w:r>
    </w:p>
    <w:p>
      <w:pPr>
        <w:spacing w:before="0" w:after="0"/>
      </w:pPr>
      <w:r>
        <w:rPr>
          <w:rFonts w:ascii="Times New Roman" w:hAnsi="Times New Roman"/>
          <w:i/>
          <w:sz w:val="16"/>
        </w:rPr>
        <w:t>[2] Dipstick urinalysis. Listing: L16.2.25.</w:t>
      </w:r>
    </w:p>
    <w:p>
      <w:pPr>
        <w:spacing w:before="0" w:after="0"/>
      </w:pPr>
      <w:r>
        <w:rPr>
          <w:rFonts w:ascii="Times New Roman" w:hAnsi="Times New Roman"/>
          <w:i/>
          <w:sz w:val="16"/>
        </w:rPr>
        <w:t>[3] Abbreviations: BL = baseline.</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ADLB. Program: t_ua_dip_shift.sas.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14.3.3.15  Lipid Panel (TC, HDL-C, LDL-C, TG) — Change from Baseline by Visit</w:t>
      </w:r>
      <w:r>
        <w:bookmarkStart w:id="0" w:name="T14.3.3.15"/>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Total Cholesterol (mmol/L)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12</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HDL Cholesterol (mmol/L)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LDL Cholesterol (mmol/L)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Triglycerides (mmol/L)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Fasting lipid panel per central laboratory.</w:t>
      </w:r>
    </w:p>
    <w:p>
      <w:pPr>
        <w:spacing w:before="0" w:after="0"/>
      </w:pPr>
      <w:r>
        <w:rPr>
          <w:rFonts w:ascii="Times New Roman" w:hAnsi="Times New Roman"/>
          <w:i/>
          <w:sz w:val="16"/>
        </w:rPr>
        <w:t>[3] Abbreviations: HDL-C = high-density lipoprotein cholesterol; LDL-C = low-density lipoprotein cholesterol; TC = total cholesterol; TG = triglycerides; HDL = high-density lipoprotein; LDL = low-density lipoprotein.</w:t>
      </w:r>
    </w:p>
    <w:p>
      <w:pPr>
        <w:spacing w:before="0" w:after="0"/>
      </w:pPr>
      <w:r>
        <w:rPr>
          <w:rFonts w:ascii="Times New Roman" w:hAnsi="Times New Roman"/>
          <w:i/>
          <w:sz w:val="16"/>
        </w:rPr>
        <w:t>[4] Dataset: ADSL, ADLB. Program: t_lipid_chg.sas.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14.3.3.16  Lipid Panel — NCEP ATP III Category Shift (Baseline to Worst Post-BL)</w:t>
      </w:r>
      <w:r>
        <w:bookmarkStart w:id="0" w:name="T14.3.3.16"/>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Baseline Category</w:t>
            </w:r>
          </w:p>
        </w:tc>
        <w:tc>
          <w:tcPr>
            <w:tcW w:type="dxa" w:w="2280"/>
            <w:shd w:fill="F2F2F2" w:val="clear"/>
            <w:tcBorders>
              <w:bottom w:val="single" w:sz="4" w:space="0" w:color="000000"/>
            </w:tcBorders>
          </w:tcPr>
          <w:p>
            <w:pPr>
              <w:jc w:val="center"/>
            </w:pPr>
            <w:r>
              <w:rPr>
                <w:rFonts w:ascii="Times New Roman" w:hAnsi="Times New Roman"/>
                <w:b/>
                <w:sz w:val="18"/>
              </w:rPr>
              <w:t>Worst Post-BL Category</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280"/>
          </w:tcPr>
          <w:p>
            <w:pPr>
              <w:spacing w:before="120" w:after="20" w:line="240" w:lineRule="exact"/>
              <w:jc w:val="left"/>
            </w:pPr>
            <w:r>
              <w:rPr>
                <w:rFonts w:ascii="Times New Roman" w:hAnsi="Times New Roman"/>
                <w:b/>
                <w:sz w:val="18"/>
              </w:rPr>
              <w:t>LDL-C</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20" w:after="20" w:line="240" w:lineRule="exact"/>
              <w:jc w:val="left"/>
            </w:pPr>
            <w:r>
              <w:rPr>
                <w:rFonts w:ascii="Times New Roman" w:hAnsi="Times New Roman"/>
                <w:b w:val="0"/>
                <w:sz w:val="18"/>
              </w:rPr>
              <w:t xml:space="preserve">  Optimal (&lt;2.6) → Borderline/High (&gt;=3.4)</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HDL-C</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20" w:after="20" w:line="240" w:lineRule="exact"/>
              <w:jc w:val="left"/>
            </w:pPr>
            <w:r>
              <w:rPr>
                <w:rFonts w:ascii="Times New Roman" w:hAnsi="Times New Roman"/>
                <w:b w:val="0"/>
                <w:sz w:val="18"/>
              </w:rPr>
              <w:t xml:space="preserve">  Normal (&gt;=1.0) → Low (&lt;1.0)</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120" w:after="20" w:line="240" w:lineRule="exact"/>
              <w:jc w:val="left"/>
            </w:pPr>
            <w:r>
              <w:rPr>
                <w:rFonts w:ascii="Times New Roman" w:hAnsi="Times New Roman"/>
                <w:b/>
                <w:sz w:val="18"/>
              </w:rPr>
              <w:t>Triglycerides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20" w:after="20" w:line="240" w:lineRule="exact"/>
              <w:jc w:val="left"/>
            </w:pPr>
            <w:r>
              <w:rPr>
                <w:rFonts w:ascii="Times New Roman" w:hAnsi="Times New Roman"/>
                <w:b w:val="0"/>
                <w:sz w:val="18"/>
              </w:rPr>
              <w:t xml:space="preserve">  Normal (&lt;1.7) → High (&gt;=2.3)</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NCEP ATP III categories. N = subjects with baseline and &gt;=1 post-baseline value.</w:t>
      </w:r>
    </w:p>
    <w:p>
      <w:pPr>
        <w:spacing w:before="0" w:after="0"/>
      </w:pPr>
      <w:r>
        <w:rPr>
          <w:rFonts w:ascii="Times New Roman" w:hAnsi="Times New Roman"/>
          <w:i/>
          <w:sz w:val="16"/>
        </w:rPr>
        <w:t>[3] Abbreviations: BL = baseline; HDL-C = high-density lipoprotein cholesterol; LDL-C = low-density lipoprotein cholesterol; NCEP = National Cholesterol Education Program; ATP = Adult Treatment Panel.</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ADLB. Program: t_lipid_shift.sas.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14.3.3.17  Thyroid Function (TSH, Free T3, Free T4) — Change from Baseline by Visit</w:t>
      </w:r>
      <w:r>
        <w:bookmarkStart w:id="0" w:name="T14.3.3.17"/>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TSH (mIU/L)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Free T3 (pmol/L)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Free T4 (pmol/L)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Thyroid function panel. TSH reference range: 0.4-4.0 mIU/L.</w:t>
      </w:r>
    </w:p>
    <w:p>
      <w:pPr>
        <w:spacing w:before="0" w:after="0"/>
      </w:pPr>
      <w:r>
        <w:rPr>
          <w:rFonts w:ascii="Times New Roman" w:hAnsi="Times New Roman"/>
          <w:i/>
          <w:sz w:val="16"/>
        </w:rPr>
        <w:t>[3] Abbreviations: TSH = thyroid-stimulating hormone; T3 = triiodothyronine; T4 = thyroxine.</w:t>
      </w:r>
    </w:p>
    <w:p>
      <w:pPr>
        <w:spacing w:before="0" w:after="0"/>
      </w:pPr>
      <w:r>
        <w:rPr>
          <w:rFonts w:ascii="Times New Roman" w:hAnsi="Times New Roman"/>
          <w:i/>
          <w:sz w:val="16"/>
        </w:rPr>
        <w:t>[4] Dataset: ADSL, ADLB. Program: t_thyroid_chg.sas.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14.3.3.18  Glucose Metabolism — Fasting Glucose and HbA1c Change from Baseline</w:t>
      </w:r>
      <w:r>
        <w:bookmarkStart w:id="0" w:name="T14.3.3.18"/>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Fasting Glucose (mmol/L)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12</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HbA1c (%)</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Fasting &gt;=8 hours for glucose and lipid assessments.</w:t>
      </w:r>
    </w:p>
    <w:p>
      <w:pPr>
        <w:spacing w:before="0" w:after="0"/>
      </w:pPr>
      <w:r>
        <w:rPr>
          <w:rFonts w:ascii="Times New Roman" w:hAnsi="Times New Roman"/>
          <w:i/>
          <w:sz w:val="16"/>
        </w:rPr>
        <w:t>[3] Abbreviations: HbA1c = glycated hemoglobin.</w:t>
      </w:r>
    </w:p>
    <w:p>
      <w:pPr>
        <w:spacing w:before="0" w:after="0"/>
      </w:pPr>
      <w:r>
        <w:rPr>
          <w:rFonts w:ascii="Times New Roman" w:hAnsi="Times New Roman"/>
          <w:i/>
          <w:sz w:val="16"/>
        </w:rPr>
        <w:t>[4] Dataset: ADSL, ADLB. Program: t_glucose_chg.sas.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14.3.3.19  Cardiac Biomarkers (hs-Troponin I/T, CK-MB, NT-proBNP) — Summary at Baseline and Worst Post-BL</w:t>
      </w:r>
      <w:r>
        <w:bookmarkStart w:id="0" w:name="T14.3.3.19"/>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54"/>
        <w:gridCol w:w="1954"/>
        <w:gridCol w:w="1954"/>
        <w:gridCol w:w="1954"/>
        <w:gridCol w:w="1954"/>
        <w:gridCol w:w="1954"/>
        <w:gridCol w:w="1954"/>
      </w:tblGrid>
      <w:tr>
        <w:trPr>
          <w:tblHeader w:val="true"/>
        </w:trPr>
        <w:tc>
          <w:tcPr>
            <w:tcW w:type="dxa" w:w="1954"/>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(Unit)</w:t>
            </w:r>
          </w:p>
        </w:tc>
        <w:tc>
          <w:tcPr>
            <w:tcW w:type="dxa" w:w="1954"/>
            <w:shd w:fill="F2F2F2" w:val="clear"/>
            <w:tcBorders>
              <w:bottom w:val="single" w:sz="4" w:space="0" w:color="000000"/>
            </w:tcBorders>
          </w:tcPr>
          <w:p>
            <w:pPr>
              <w:jc w:val="center"/>
            </w:pPr>
            <w:r>
              <w:rPr>
                <w:rFonts w:ascii="Times New Roman" w:hAnsi="Times New Roman"/>
                <w:b/>
                <w:sz w:val="18"/>
              </w:rPr>
              <w:t>Timepoint</w:t>
            </w:r>
          </w:p>
        </w:tc>
        <w:tc>
          <w:tcPr>
            <w:tcW w:type="dxa" w:w="1954"/>
            <w:shd w:fill="F2F2F2" w:val="clear"/>
            <w:tcBorders>
              <w:bottom w:val="single" w:sz="4" w:space="0" w:color="000000"/>
            </w:tcBorders>
          </w:tcPr>
          <w:p>
            <w:pPr>
              <w:jc w:val="center"/>
            </w:pPr>
            <w:r>
              <w:rPr>
                <w:rFonts w:ascii="Times New Roman" w:hAnsi="Times New Roman"/>
                <w:b/>
                <w:sz w:val="18"/>
              </w:rPr>
              <w:t>Statistic</w:t>
            </w:r>
          </w:p>
        </w:tc>
        <w:tc>
          <w:tcPr>
            <w:tcW w:type="dxa" w:w="1954"/>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1954"/>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1954"/>
            <w:shd w:fill="F2F2F2" w:val="clear"/>
            <w:tcBorders>
              <w:bottom w:val="single" w:sz="4" w:space="0" w:color="000000"/>
            </w:tcBorders>
          </w:tcPr>
          <w:p>
            <w:pPr>
              <w:jc w:val="center"/>
            </w:pPr>
            <w:r>
              <w:rPr>
                <w:rFonts w:ascii="Times New Roman" w:hAnsi="Times New Roman"/>
                <w:b/>
                <w:sz w:val="18"/>
              </w:rPr>
              <w:t>...</w:t>
            </w:r>
          </w:p>
        </w:tc>
        <w:tc>
          <w:tcPr>
            <w:tcW w:type="dxa" w:w="1954"/>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1954"/>
          </w:tcPr>
          <w:p>
            <w:pPr>
              <w:spacing w:before="120" w:after="20" w:line="240" w:lineRule="exact"/>
              <w:jc w:val="left"/>
            </w:pPr>
            <w:r>
              <w:rPr>
                <w:rFonts w:ascii="Times New Roman" w:hAnsi="Times New Roman"/>
                <w:b/>
                <w:sz w:val="18"/>
              </w:rPr>
              <w:t>hs-Troponin I (ng/L)</w:t>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Baseline</w:t>
            </w:r>
          </w:p>
        </w:tc>
        <w:tc>
          <w:tcPr>
            <w:tcW w:type="dxa" w:w="1954"/>
          </w:tcPr>
          <w:p>
            <w:pPr>
              <w:spacing w:before="0" w:after="20" w:line="240" w:lineRule="exact"/>
              <w:jc w:val="center"/>
            </w:pPr>
            <w:r>
              <w:rPr>
                <w:rFonts w:ascii="Times New Roman" w:hAnsi="Times New Roman"/>
                <w:b w:val="0"/>
                <w:sz w:val="18"/>
              </w:rPr>
              <w:t>Mean (SD)</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Worst Post-BL</w:t>
            </w:r>
          </w:p>
        </w:tc>
        <w:tc>
          <w:tcPr>
            <w:tcW w:type="dxa" w:w="1954"/>
          </w:tcPr>
          <w:p>
            <w:pPr>
              <w:spacing w:before="0" w:after="20" w:line="240" w:lineRule="exact"/>
              <w:jc w:val="center"/>
            </w:pPr>
            <w:r>
              <w:rPr>
                <w:rFonts w:ascii="Times New Roman" w:hAnsi="Times New Roman"/>
                <w:b w:val="0"/>
                <w:sz w:val="18"/>
              </w:rPr>
              <w:t>Mean (SD)</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Worst Post-BL</w:t>
            </w:r>
          </w:p>
        </w:tc>
        <w:tc>
          <w:tcPr>
            <w:tcW w:type="dxa" w:w="1954"/>
          </w:tcPr>
          <w:p>
            <w:pPr>
              <w:spacing w:before="0" w:after="20" w:line="240" w:lineRule="exact"/>
              <w:jc w:val="center"/>
            </w:pPr>
            <w:r>
              <w:rPr>
                <w:rFonts w:ascii="Times New Roman" w:hAnsi="Times New Roman"/>
                <w:b w:val="0"/>
                <w:sz w:val="18"/>
              </w:rPr>
              <w:t>&gt;=ULN, n (%)</w:t>
            </w:r>
          </w:p>
        </w:tc>
        <w:tc>
          <w:tcPr>
            <w:tcW w:type="dxa" w:w="1954"/>
          </w:tcPr>
          <w:p>
            <w:pPr>
              <w:spacing w:before="0" w:after="20" w:line="240" w:lineRule="exact"/>
              <w:jc w:val="center"/>
            </w:pPr>
            <w:r>
              <w:rPr>
                <w:rFonts w:ascii="Times New Roman" w:hAnsi="Times New Roman"/>
                <w:b w:val="0"/>
                <w:sz w:val="18"/>
              </w:rPr>
              <w:t>xx (xx.x)</w:t>
            </w:r>
          </w:p>
        </w:tc>
        <w:tc>
          <w:tcPr>
            <w:tcW w:type="dxa" w:w="1954"/>
          </w:tcPr>
          <w:p>
            <w:pPr>
              <w:spacing w:before="0" w:after="20" w:line="240" w:lineRule="exact"/>
              <w:jc w:val="center"/>
            </w:pPr>
            <w:r>
              <w:rPr>
                <w:rFonts w:ascii="Times New Roman" w:hAnsi="Times New Roman"/>
                <w:b w:val="0"/>
                <w:sz w:val="18"/>
              </w:rPr>
              <w:t>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 (xx.x)</w:t>
            </w:r>
          </w:p>
        </w:tc>
      </w:tr>
      <w:tr>
        <w:tc>
          <w:tcPr>
            <w:tcW w:type="dxa" w:w="1954"/>
          </w:tcPr>
          <w:p>
            <w:pPr>
              <w:spacing w:before="120" w:after="20" w:line="240" w:lineRule="exact"/>
              <w:jc w:val="left"/>
            </w:pPr>
            <w:r>
              <w:rPr>
                <w:rFonts w:ascii="Times New Roman" w:hAnsi="Times New Roman"/>
                <w:b/>
                <w:sz w:val="18"/>
              </w:rPr>
              <w:t>CK-MB (ng/mL)</w:t>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Baseline</w:t>
            </w:r>
          </w:p>
        </w:tc>
        <w:tc>
          <w:tcPr>
            <w:tcW w:type="dxa" w:w="1954"/>
          </w:tcPr>
          <w:p>
            <w:pPr>
              <w:spacing w:before="0" w:after="20" w:line="240" w:lineRule="exact"/>
              <w:jc w:val="center"/>
            </w:pPr>
            <w:r>
              <w:rPr>
                <w:rFonts w:ascii="Times New Roman" w:hAnsi="Times New Roman"/>
                <w:b w:val="0"/>
                <w:sz w:val="18"/>
              </w:rPr>
              <w:t>Mean (SD)</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120" w:after="20" w:line="240" w:lineRule="exact"/>
              <w:jc w:val="left"/>
            </w:pPr>
            <w:r>
              <w:rPr>
                <w:rFonts w:ascii="Times New Roman" w:hAnsi="Times New Roman"/>
                <w:b/>
                <w:sz w:val="18"/>
              </w:rPr>
              <w:t>NT-proBNP (pg/mL)</w:t>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Baseline</w:t>
            </w:r>
          </w:p>
        </w:tc>
        <w:tc>
          <w:tcPr>
            <w:tcW w:type="dxa" w:w="1954"/>
          </w:tcPr>
          <w:p>
            <w:pPr>
              <w:spacing w:before="0" w:after="20" w:line="240" w:lineRule="exact"/>
              <w:jc w:val="center"/>
            </w:pPr>
            <w:r>
              <w:rPr>
                <w:rFonts w:ascii="Times New Roman" w:hAnsi="Times New Roman"/>
                <w:b w:val="0"/>
                <w:sz w:val="18"/>
              </w:rPr>
              <w:t>Mean (SD)</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20" w:after="20" w:line="240" w:lineRule="exact"/>
              <w:jc w:val="left"/>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Cardiac biomarkers collected at Screening, Baseline, and on-treatment timepoints. Listing: L16.2.27.</w:t>
      </w:r>
    </w:p>
    <w:p>
      <w:pPr>
        <w:spacing w:before="0" w:after="0"/>
      </w:pPr>
      <w:r>
        <w:rPr>
          <w:rFonts w:ascii="Times New Roman" w:hAnsi="Times New Roman"/>
          <w:i/>
          <w:sz w:val="16"/>
        </w:rPr>
        <w:t>[3] Abbreviations: BL = baseline; CK-MB = creatine kinase-MB; NT-proBNP = N-terminal pro-B-type natriuretic peptide.</w:t>
      </w:r>
    </w:p>
    <w:p>
      <w:pPr>
        <w:spacing w:before="0" w:after="0"/>
      </w:pPr>
      <w:r>
        <w:rPr>
          <w:rFonts w:ascii="Times New Roman" w:hAnsi="Times New Roman"/>
          <w:i/>
          <w:sz w:val="16"/>
        </w:rPr>
        <w:t>[4] Dataset: ADSL, ADLB. Program: t_cardiac_bio.sas.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14.3.3.20  Pancreatic Enzymes (Amylase, Lipase) — Change from Baseline</w:t>
      </w:r>
      <w:r>
        <w:bookmarkStart w:id="0" w:name="T14.3.3.20"/>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(Unit)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Amylase (U/L)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Worst Post-BL</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&gt;=2xULN</w:t>
            </w:r>
          </w:p>
        </w:tc>
        <w:tc>
          <w:tcPr>
            <w:tcW w:type="dxa" w:w="2280"/>
          </w:tcPr>
          <w:p>
            <w:pPr>
              <w:spacing w:before="0" w:after="20" w:line="240" w:lineRule="exact"/>
              <w:jc w:val="center"/>
            </w:pPr>
            <w:r>
              <w:rPr>
                <w:rFonts w:ascii="Times New Roman" w:hAnsi="Times New Roman"/>
                <w:b w:val="0"/>
                <w:sz w:val="18"/>
              </w:rPr>
              <w:t>n (%)</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120" w:after="20" w:line="240" w:lineRule="exact"/>
              <w:jc w:val="left"/>
            </w:pPr>
            <w:r>
              <w:rPr>
                <w:rFonts w:ascii="Times New Roman" w:hAnsi="Times New Roman"/>
                <w:b/>
                <w:sz w:val="18"/>
              </w:rPr>
              <w:t>Lipase (U/L)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Worst Post-BL</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&gt;=2xULN</w:t>
            </w:r>
          </w:p>
        </w:tc>
        <w:tc>
          <w:tcPr>
            <w:tcW w:type="dxa" w:w="2280"/>
          </w:tcPr>
          <w:p>
            <w:pPr>
              <w:spacing w:before="0" w:after="20" w:line="240" w:lineRule="exact"/>
              <w:jc w:val="center"/>
            </w:pPr>
            <w:r>
              <w:rPr>
                <w:rFonts w:ascii="Times New Roman" w:hAnsi="Times New Roman"/>
                <w:b w:val="0"/>
                <w:sz w:val="18"/>
              </w:rPr>
              <w:t>n (%)</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Pancreatic enzymes per central laboratory. ULN = Upper Limit of Normal.</w:t>
      </w:r>
    </w:p>
    <w:p>
      <w:pPr>
        <w:spacing w:before="0" w:after="0"/>
      </w:pPr>
      <w:r>
        <w:rPr>
          <w:rFonts w:ascii="Times New Roman" w:hAnsi="Times New Roman"/>
          <w:i/>
          <w:sz w:val="16"/>
        </w:rPr>
        <w:t>[3] Abbreviations: BL = baseline; ULN = upper limit of normal.</w:t>
      </w:r>
    </w:p>
    <w:p>
      <w:pPr>
        <w:spacing w:before="0" w:after="0"/>
      </w:pPr>
      <w:r>
        <w:rPr>
          <w:rFonts w:ascii="Times New Roman" w:hAnsi="Times New Roman"/>
          <w:i/>
          <w:sz w:val="16"/>
        </w:rPr>
        <w:t>[4] Dataset: ADSL, ADLB. Program: t_pancreas.sas.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14.3.3.21  Serum Immunoglobulins (IgG, IgA, IgM, IgE) — Change from Baseline</w:t>
      </w:r>
      <w:r>
        <w:bookmarkStart w:id="0" w:name="T14.3.3.21"/>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(Unit)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IgG (g/L)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IgA (g/L)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IgM (g/L)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IgE (IU/mL)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L16.2.27</w:t>
      </w:r>
    </w:p>
    <w:p>
      <w:pPr>
        <w:spacing w:before="0" w:after="0"/>
      </w:pPr>
      <w:r>
        <w:rPr>
          <w:rFonts w:ascii="Times New Roman" w:hAnsi="Times New Roman"/>
          <w:i/>
          <w:sz w:val="16"/>
        </w:rPr>
        <w:t>[2] Immunoglobulin panel. Listing: L16.2.27.</w:t>
      </w:r>
    </w:p>
    <w:p>
      <w:pPr>
        <w:spacing w:before="0" w:after="0"/>
      </w:pPr>
      <w:r>
        <w:rPr>
          <w:rFonts w:ascii="Times New Roman" w:hAnsi="Times New Roman"/>
          <w:i/>
          <w:sz w:val="16"/>
        </w:rPr>
        <w:t>[3] Abbreviations: IgG = immunoglobulin G; IgA = immunoglobulin A; IgM = immunoglobulin M; IgE = immunoglobulin E.</w:t>
      </w:r>
    </w:p>
    <w:p>
      <w:pPr>
        <w:spacing w:before="0" w:after="0"/>
      </w:pPr>
      <w:r>
        <w:rPr>
          <w:rFonts w:ascii="Times New Roman" w:hAnsi="Times New Roman"/>
          <w:i/>
          <w:sz w:val="16"/>
        </w:rPr>
        <w:t>[4] Dataset: ADSL, ADLB. Program: t_ig_chg.sas.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14.3.3.22  Lymphocyte Subsets (CD3, CD4, CD8, CD19, CD16+CD56) — Change from Baseline by Visit</w:t>
      </w:r>
      <w:r>
        <w:bookmarkStart w:id="0" w:name="T14.3.3.22"/>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(Unit)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CD3+ T Cells (cells/uL)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w:t>
            </w:r>
          </w:p>
        </w:tc>
      </w:tr>
      <w:tr>
        <w:tc>
          <w:tcPr>
            <w:tcW w:type="dxa" w:w="2280"/>
          </w:tcPr>
          <w:p>
            <w:pPr>
              <w:spacing w:before="120" w:after="20" w:line="240" w:lineRule="exact"/>
              <w:jc w:val="left"/>
            </w:pPr>
            <w:r>
              <w:rPr>
                <w:rFonts w:ascii="Times New Roman" w:hAnsi="Times New Roman"/>
                <w:b/>
                <w:sz w:val="18"/>
              </w:rPr>
              <w:t>CD4+ Helper T Cells (cells/uL)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w:t>
            </w:r>
          </w:p>
        </w:tc>
      </w:tr>
      <w:tr>
        <w:tc>
          <w:tcPr>
            <w:tcW w:type="dxa" w:w="2280"/>
          </w:tcPr>
          <w:p>
            <w:pPr>
              <w:spacing w:before="120" w:after="20" w:line="240" w:lineRule="exact"/>
              <w:jc w:val="left"/>
            </w:pPr>
            <w:r>
              <w:rPr>
                <w:rFonts w:ascii="Times New Roman" w:hAnsi="Times New Roman"/>
                <w:b/>
                <w:sz w:val="18"/>
              </w:rPr>
              <w:t>CD8+ Cytotoxic T Cells (cells/uL)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w:t>
            </w:r>
          </w:p>
        </w:tc>
      </w:tr>
      <w:tr>
        <w:tc>
          <w:tcPr>
            <w:tcW w:type="dxa" w:w="2280"/>
          </w:tcPr>
          <w:p>
            <w:pPr>
              <w:spacing w:before="120" w:after="20" w:line="240" w:lineRule="exact"/>
              <w:jc w:val="left"/>
            </w:pPr>
            <w:r>
              <w:rPr>
                <w:rFonts w:ascii="Times New Roman" w:hAnsi="Times New Roman"/>
                <w:b/>
                <w:sz w:val="18"/>
              </w:rPr>
              <w:t>CD4/CD8 Ratio</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CD19+ B Cells (cells/uL)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w:t>
            </w:r>
          </w:p>
        </w:tc>
      </w:tr>
      <w:tr>
        <w:tc>
          <w:tcPr>
            <w:tcW w:type="dxa" w:w="2280"/>
          </w:tcPr>
          <w:p>
            <w:pPr>
              <w:spacing w:before="120" w:after="20" w:line="240" w:lineRule="exact"/>
              <w:jc w:val="left"/>
            </w:pPr>
            <w:r>
              <w:rPr>
                <w:rFonts w:ascii="Times New Roman" w:hAnsi="Times New Roman"/>
                <w:b/>
                <w:sz w:val="18"/>
              </w:rPr>
              <w:t>CD16+CD56+ NK Cells (cells/uL)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xx (xx)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L16.2.28</w:t>
      </w:r>
    </w:p>
    <w:p>
      <w:pPr>
        <w:spacing w:before="0" w:after="0"/>
      </w:pPr>
      <w:r>
        <w:rPr>
          <w:rFonts w:ascii="Times New Roman" w:hAnsi="Times New Roman"/>
          <w:i/>
          <w:sz w:val="16"/>
        </w:rPr>
        <w:t>[2] Lymphocyte subsets by flow cytometry. Listing: L16.2.28.</w:t>
      </w:r>
    </w:p>
    <w:p>
      <w:pPr>
        <w:spacing w:before="0" w:after="0"/>
      </w:pPr>
      <w:r>
        <w:rPr>
          <w:rFonts w:ascii="Times New Roman" w:hAnsi="Times New Roman"/>
          <w:i/>
          <w:sz w:val="16"/>
        </w:rPr>
        <w:t>[3] Abbreviations: CD3 = cluster of differentiation 3; CD4 = cluster of differentiation 4; CD8 = cluster of differentiation 8; CD19 = cluster of differentiation 19; CD16 = cluster of differentiation 16; CD56 = cluster of differentiation 56; NK = natural killer.</w:t>
      </w:r>
    </w:p>
    <w:p>
      <w:pPr>
        <w:spacing w:before="0" w:after="0"/>
      </w:pPr>
      <w:r>
        <w:rPr>
          <w:rFonts w:ascii="Times New Roman" w:hAnsi="Times New Roman"/>
          <w:i/>
          <w:sz w:val="16"/>
        </w:rPr>
        <w:t>[4] Dataset: ADSL, ADLB. Program: t_lymph_subset.sas.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14.3.3.23  Inflammatory Cytokine Panel (IL-6, TNF-a, IFN-g, IL-1b, IL-10) — Change from Baseline</w:t>
      </w:r>
      <w:r>
        <w:bookmarkStart w:id="0" w:name="T14.3.3.23"/>
        <w:bookmarkEnd w:id="0"/>
      </w:r>
    </w:p>
    <w:p>
      <w:pPr>
        <w:keepNext/>
        <w:spacing w:before="40" w:after="160"/>
      </w:pPr>
      <w:r>
        <w:rPr>
          <w:rFonts w:ascii="Times New Roman" w:hAnsi="Times New Roman"/>
          <w:i/>
          <w:sz w:val="18"/>
        </w:rPr>
        <w:t>Analysis Set: Safety Population (Subset with Cytokine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Cytokine</w:t>
            </w:r>
          </w:p>
          <w:p>
            <w:pPr>
              <w:spacing w:before="0" w:after="0"/>
              <w:jc w:val="left"/>
            </w:pPr>
            <w:r>
              <w:rPr>
                <w:rFonts w:ascii="Times New Roman" w:hAnsi="Times New Roman"/>
                <w:b/>
                <w:sz w:val="18"/>
              </w:rPr>
              <w:t>(Unit)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IL-6 (pg/mL)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Cycle 2</w:t>
            </w:r>
          </w:p>
        </w:tc>
        <w:tc>
          <w:tcPr>
            <w:tcW w:type="dxa" w:w="2280"/>
          </w:tcPr>
          <w:p>
            <w:pPr>
              <w:spacing w:before="0" w:after="20" w:line="240" w:lineRule="exact"/>
              <w:jc w:val="center"/>
            </w:pPr>
            <w:r>
              <w:rPr>
                <w:rFonts w:ascii="Times New Roman" w:hAnsi="Times New Roman"/>
                <w:b w:val="0"/>
                <w:sz w:val="18"/>
              </w:rPr>
              <w:t>Fold Chg from BL</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w:t>
            </w:r>
          </w:p>
        </w:tc>
      </w:tr>
      <w:tr>
        <w:tc>
          <w:tcPr>
            <w:tcW w:type="dxa" w:w="2280"/>
          </w:tcPr>
          <w:p>
            <w:pPr>
              <w:spacing w:before="120" w:after="20" w:line="240" w:lineRule="exact"/>
              <w:jc w:val="left"/>
            </w:pPr>
            <w:r>
              <w:rPr>
                <w:rFonts w:ascii="Times New Roman" w:hAnsi="Times New Roman"/>
                <w:b/>
                <w:sz w:val="18"/>
              </w:rPr>
              <w:t>TNF-alpha (pg/mL)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IFN-gamma (pg/mL)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IL-1beta (pg/mL)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IL-10 (pg/mL)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L16.2.28</w:t>
      </w:r>
    </w:p>
    <w:p>
      <w:pPr>
        <w:spacing w:before="0" w:after="0"/>
      </w:pPr>
      <w:r>
        <w:rPr>
          <w:rFonts w:ascii="Times New Roman" w:hAnsi="Times New Roman"/>
          <w:i/>
          <w:sz w:val="16"/>
        </w:rPr>
        <w:t>[2] Cytokine panel by multiplex immunoassay. Listing: L16.2.28.</w:t>
      </w:r>
    </w:p>
    <w:p>
      <w:pPr>
        <w:spacing w:before="0" w:after="0"/>
      </w:pPr>
      <w:r>
        <w:rPr>
          <w:rFonts w:ascii="Times New Roman" w:hAnsi="Times New Roman"/>
          <w:i/>
          <w:sz w:val="16"/>
        </w:rPr>
        <w:t>[3] Abbreviations: IL-6 = interleukin 6; IL-1beta = interleukin 1 beta; IL-10 = interleukin 10; TNF-alpha = tumor necrosis factor alpha; IFN-gamma = interferon gamma.</w:t>
      </w:r>
    </w:p>
    <w:p>
      <w:pPr>
        <w:spacing w:before="0" w:after="0"/>
      </w:pPr>
      <w:r>
        <w:rPr>
          <w:rFonts w:ascii="Times New Roman" w:hAnsi="Times New Roman"/>
          <w:i/>
          <w:sz w:val="16"/>
        </w:rPr>
        <w:t>[4] Dataset: ADSL, ADLB. Program: t_cytokine.sas.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14.3.3.24  Renal Function — AKI Staging per KDIGO Criteria</w:t>
      </w:r>
      <w:r>
        <w:bookmarkStart w:id="0" w:name="T14.3.3.24"/>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KDIGO Stage</w:t>
            </w:r>
          </w:p>
        </w:tc>
        <w:tc>
          <w:tcPr>
            <w:tcW w:type="dxa" w:w="2280"/>
            <w:shd w:fill="F2F2F2" w:val="clear"/>
            <w:tcBorders>
              <w:bottom w:val="single" w:sz="4" w:space="0" w:color="000000"/>
            </w:tcBorders>
          </w:tcPr>
          <w:p>
            <w:pPr>
              <w:jc w:val="center"/>
            </w:pPr>
            <w:r>
              <w:rPr>
                <w:rFonts w:ascii="Times New Roman" w:hAnsi="Times New Roman"/>
                <w:b/>
                <w:sz w:val="18"/>
              </w:rPr>
              <w:t>Criterion</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280"/>
          </w:tcPr>
          <w:p>
            <w:pPr>
              <w:spacing w:before="20" w:after="20" w:line="240" w:lineRule="exact"/>
              <w:jc w:val="left"/>
            </w:pPr>
            <w:r>
              <w:rPr>
                <w:rFonts w:ascii="Times New Roman" w:hAnsi="Times New Roman"/>
                <w:b w:val="0"/>
                <w:sz w:val="18"/>
              </w:rPr>
              <w:t>Stage 1</w:t>
            </w:r>
          </w:p>
        </w:tc>
        <w:tc>
          <w:tcPr>
            <w:tcW w:type="dxa" w:w="2280"/>
          </w:tcPr>
          <w:p>
            <w:pPr>
              <w:spacing w:before="20" w:after="20" w:line="240" w:lineRule="exact"/>
              <w:jc w:val="center"/>
            </w:pPr>
            <w:r>
              <w:rPr>
                <w:rFonts w:ascii="Times New Roman" w:hAnsi="Times New Roman"/>
                <w:b w:val="0"/>
                <w:sz w:val="18"/>
              </w:rPr>
              <w:t>Cr &gt;=1.5-1.9x BL or &gt;=26.5 umol/L increase</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xx/xx (xx.x)</w:t>
            </w:r>
          </w:p>
        </w:tc>
      </w:tr>
      <w:tr>
        <w:tc>
          <w:tcPr>
            <w:tcW w:type="dxa" w:w="2280"/>
          </w:tcPr>
          <w:p>
            <w:pPr>
              <w:spacing w:before="20" w:after="20" w:line="240" w:lineRule="exact"/>
              <w:jc w:val="left"/>
            </w:pPr>
            <w:r>
              <w:rPr>
                <w:rFonts w:ascii="Times New Roman" w:hAnsi="Times New Roman"/>
                <w:b w:val="0"/>
                <w:sz w:val="18"/>
              </w:rPr>
              <w:t>Stage 2</w:t>
            </w:r>
          </w:p>
        </w:tc>
        <w:tc>
          <w:tcPr>
            <w:tcW w:type="dxa" w:w="2280"/>
          </w:tcPr>
          <w:p>
            <w:pPr>
              <w:spacing w:before="20" w:after="20" w:line="240" w:lineRule="exact"/>
              <w:jc w:val="center"/>
            </w:pPr>
            <w:r>
              <w:rPr>
                <w:rFonts w:ascii="Times New Roman" w:hAnsi="Times New Roman"/>
                <w:b w:val="0"/>
                <w:sz w:val="18"/>
              </w:rPr>
              <w:t>Cr &gt;=2.0-2.9x BL</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xx/xx (xx.x)</w:t>
            </w:r>
          </w:p>
        </w:tc>
      </w:tr>
      <w:tr>
        <w:tc>
          <w:tcPr>
            <w:tcW w:type="dxa" w:w="2280"/>
          </w:tcPr>
          <w:p>
            <w:pPr>
              <w:spacing w:before="20" w:after="20" w:line="240" w:lineRule="exact"/>
              <w:jc w:val="left"/>
            </w:pPr>
            <w:r>
              <w:rPr>
                <w:rFonts w:ascii="Times New Roman" w:hAnsi="Times New Roman"/>
                <w:b w:val="0"/>
                <w:sz w:val="18"/>
              </w:rPr>
              <w:t>Stage 3</w:t>
            </w:r>
          </w:p>
        </w:tc>
        <w:tc>
          <w:tcPr>
            <w:tcW w:type="dxa" w:w="2280"/>
          </w:tcPr>
          <w:p>
            <w:pPr>
              <w:spacing w:before="20" w:after="20" w:line="240" w:lineRule="exact"/>
              <w:jc w:val="center"/>
            </w:pPr>
            <w:r>
              <w:rPr>
                <w:rFonts w:ascii="Times New Roman" w:hAnsi="Times New Roman"/>
                <w:b w:val="0"/>
                <w:sz w:val="18"/>
              </w:rPr>
              <w:t>Cr &gt;=3.0x BL or &gt;=353.6 umol/L or RRT</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xx/xx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xx/xx (xx.x)</w:t>
            </w:r>
          </w:p>
        </w:tc>
      </w:tr>
      <w:tr>
        <w:tc>
          <w:tcPr>
            <w:tcW w:type="dxa" w:w="2280"/>
          </w:tcPr>
          <w:p>
            <w:pPr>
              <w:spacing w:before="120" w:after="20" w:line="240" w:lineRule="exact"/>
              <w:jc w:val="left"/>
            </w:pPr>
            <w:r>
              <w:rPr>
                <w:rFonts w:ascii="Times New Roman" w:hAnsi="Times New Roman"/>
                <w:b/>
                <w:sz w:val="18"/>
              </w:rPr>
              <w:t>Any AKI (Stage 1-3)</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t>xx/xx (xx.x)</w:t>
            </w:r>
          </w:p>
        </w:tc>
        <w:tc>
          <w:tcPr>
            <w:tcW w:type="dxa" w:w="2280"/>
          </w:tcPr>
          <w:p>
            <w:pPr>
              <w:spacing w:before="120" w:after="20" w:line="240" w:lineRule="exact"/>
              <w:jc w:val="center"/>
            </w:pPr>
            <w:r>
              <w:rPr>
                <w:rFonts w:ascii="Times New Roman" w:hAnsi="Times New Roman"/>
                <w:b/>
                <w:sz w:val="18"/>
              </w:rPr>
              <w:t>xx/xx (xx.x)</w:t>
            </w:r>
          </w:p>
        </w:tc>
        <w:tc>
          <w:tcPr>
            <w:tcW w:type="dxa" w:w="2280"/>
          </w:tcPr>
          <w:p>
            <w:pPr>
              <w:spacing w:before="120" w:after="20" w:line="240" w:lineRule="exact"/>
              <w:jc w:val="center"/>
            </w:pPr>
            <w:r>
              <w:rPr>
                <w:rFonts w:ascii="Times New Roman" w:hAnsi="Times New Roman"/>
                <w:b/>
                <w:sz w:val="18"/>
              </w:rPr>
              <w:t>...</w:t>
            </w:r>
          </w:p>
        </w:tc>
        <w:tc>
          <w:tcPr>
            <w:tcW w:type="dxa" w:w="2280"/>
          </w:tcPr>
          <w:p>
            <w:pPr>
              <w:spacing w:before="120" w:after="20" w:line="240" w:lineRule="exact"/>
              <w:jc w:val="center"/>
            </w:pPr>
            <w:r>
              <w:rPr>
                <w:rFonts w:ascii="Times New Roman" w:hAnsi="Times New Roman"/>
                <w:b/>
                <w:sz w:val="18"/>
              </w:rPr>
              <w:t>xx/xx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KDIGO 2012 criteria. BL = Baseline creatinine. RRT = Renal Replacement Therapy. N = subjects with &gt;=1 post-BL creatinine.</w:t>
      </w:r>
    </w:p>
    <w:p>
      <w:pPr>
        <w:spacing w:before="0" w:after="0"/>
      </w:pPr>
      <w:r>
        <w:rPr>
          <w:rFonts w:ascii="Times New Roman" w:hAnsi="Times New Roman"/>
          <w:i/>
          <w:sz w:val="16"/>
        </w:rPr>
        <w:t>[2] Abbreviations: BL = baseline; AKI = acute kidney injury; KDIGO = Kidney Disease: Improving Global Outcomes.</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ADSL, ADLB. Program: t_aki_kdigo.sas.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14.3.3.25  Urine Chemistry — Protein, Creatinine, and Protein/Creatinine Ratio</w:t>
      </w:r>
      <w:r>
        <w:bookmarkStart w:id="0" w:name="T14.3.3.25"/>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54"/>
        <w:gridCol w:w="1954"/>
        <w:gridCol w:w="1954"/>
        <w:gridCol w:w="1954"/>
        <w:gridCol w:w="1954"/>
        <w:gridCol w:w="1954"/>
        <w:gridCol w:w="1954"/>
      </w:tblGrid>
      <w:tr>
        <w:trPr>
          <w:tblHeader w:val="true"/>
        </w:trPr>
        <w:tc>
          <w:tcPr>
            <w:tcW w:type="dxa" w:w="1954"/>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(Unit)</w:t>
            </w:r>
          </w:p>
        </w:tc>
        <w:tc>
          <w:tcPr>
            <w:tcW w:type="dxa" w:w="1954"/>
            <w:shd w:fill="F2F2F2" w:val="clear"/>
            <w:tcBorders>
              <w:bottom w:val="single" w:sz="4" w:space="0" w:color="000000"/>
            </w:tcBorders>
          </w:tcPr>
          <w:p>
            <w:pPr>
              <w:jc w:val="center"/>
            </w:pPr>
            <w:r>
              <w:rPr>
                <w:rFonts w:ascii="Times New Roman" w:hAnsi="Times New Roman"/>
                <w:b/>
                <w:sz w:val="18"/>
              </w:rPr>
              <w:t>Visit</w:t>
            </w:r>
          </w:p>
        </w:tc>
        <w:tc>
          <w:tcPr>
            <w:tcW w:type="dxa" w:w="1954"/>
            <w:shd w:fill="F2F2F2" w:val="clear"/>
            <w:tcBorders>
              <w:bottom w:val="single" w:sz="4" w:space="0" w:color="000000"/>
            </w:tcBorders>
          </w:tcPr>
          <w:p>
            <w:pPr>
              <w:jc w:val="center"/>
            </w:pPr>
            <w:r>
              <w:rPr>
                <w:rFonts w:ascii="Times New Roman" w:hAnsi="Times New Roman"/>
                <w:b/>
                <w:sz w:val="18"/>
              </w:rPr>
              <w:t>Statistic</w:t>
            </w:r>
          </w:p>
        </w:tc>
        <w:tc>
          <w:tcPr>
            <w:tcW w:type="dxa" w:w="1954"/>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1954"/>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1954"/>
            <w:shd w:fill="F2F2F2" w:val="clear"/>
            <w:tcBorders>
              <w:bottom w:val="single" w:sz="4" w:space="0" w:color="000000"/>
            </w:tcBorders>
          </w:tcPr>
          <w:p>
            <w:pPr>
              <w:jc w:val="center"/>
            </w:pPr>
            <w:r>
              <w:rPr>
                <w:rFonts w:ascii="Times New Roman" w:hAnsi="Times New Roman"/>
                <w:b/>
                <w:sz w:val="18"/>
              </w:rPr>
              <w:t>...</w:t>
            </w:r>
          </w:p>
        </w:tc>
        <w:tc>
          <w:tcPr>
            <w:tcW w:type="dxa" w:w="1954"/>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1954"/>
          </w:tcPr>
          <w:p>
            <w:pPr>
              <w:spacing w:before="120" w:after="20" w:line="240" w:lineRule="exact"/>
              <w:jc w:val="left"/>
            </w:pPr>
            <w:r>
              <w:rPr>
                <w:rFonts w:ascii="Times New Roman" w:hAnsi="Times New Roman"/>
                <w:b/>
                <w:sz w:val="18"/>
              </w:rPr>
              <w:t>Urine Protein (g/24h)</w:t>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Baseline</w:t>
            </w:r>
          </w:p>
        </w:tc>
        <w:tc>
          <w:tcPr>
            <w:tcW w:type="dxa" w:w="1954"/>
          </w:tcPr>
          <w:p>
            <w:pPr>
              <w:spacing w:before="0" w:after="20" w:line="240" w:lineRule="exact"/>
              <w:jc w:val="center"/>
            </w:pPr>
            <w:r>
              <w:rPr>
                <w:rFonts w:ascii="Times New Roman" w:hAnsi="Times New Roman"/>
                <w:b w:val="0"/>
                <w:sz w:val="18"/>
              </w:rPr>
              <w:t>Mean (SD)</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Week 12</w:t>
            </w:r>
          </w:p>
        </w:tc>
        <w:tc>
          <w:tcPr>
            <w:tcW w:type="dxa" w:w="1954"/>
          </w:tcPr>
          <w:p>
            <w:pPr>
              <w:spacing w:before="0" w:after="20" w:line="240" w:lineRule="exact"/>
              <w:jc w:val="center"/>
            </w:pPr>
            <w:r>
              <w:rPr>
                <w:rFonts w:ascii="Times New Roman" w:hAnsi="Times New Roman"/>
                <w:b w:val="0"/>
                <w:sz w:val="18"/>
              </w:rPr>
              <w:t>Mean Chg (SD)</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120" w:after="20" w:line="240" w:lineRule="exact"/>
              <w:jc w:val="left"/>
            </w:pPr>
            <w:r>
              <w:rPr>
                <w:rFonts w:ascii="Times New Roman" w:hAnsi="Times New Roman"/>
                <w:b/>
                <w:sz w:val="18"/>
              </w:rPr>
              <w:t>UPCR (mg/mmol)</w:t>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Baseline</w:t>
            </w:r>
          </w:p>
        </w:tc>
        <w:tc>
          <w:tcPr>
            <w:tcW w:type="dxa" w:w="1954"/>
          </w:tcPr>
          <w:p>
            <w:pPr>
              <w:spacing w:before="0" w:after="20" w:line="240" w:lineRule="exact"/>
              <w:jc w:val="center"/>
            </w:pPr>
            <w:r>
              <w:rPr>
                <w:rFonts w:ascii="Times New Roman" w:hAnsi="Times New Roman"/>
                <w:b w:val="0"/>
                <w:sz w:val="18"/>
              </w:rPr>
              <w:t>Geo Mean (CV%)</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Week 12</w:t>
            </w:r>
          </w:p>
        </w:tc>
        <w:tc>
          <w:tcPr>
            <w:tcW w:type="dxa" w:w="1954"/>
          </w:tcPr>
          <w:p>
            <w:pPr>
              <w:spacing w:before="0" w:after="20" w:line="240" w:lineRule="exact"/>
              <w:jc w:val="center"/>
            </w:pPr>
            <w:r>
              <w:rPr>
                <w:rFonts w:ascii="Times New Roman" w:hAnsi="Times New Roman"/>
                <w:b w:val="0"/>
                <w:sz w:val="18"/>
              </w:rPr>
              <w:t>Geo Mean (CV%)</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120" w:after="20" w:line="240" w:lineRule="exact"/>
              <w:jc w:val="left"/>
            </w:pPr>
            <w:r>
              <w:rPr>
                <w:rFonts w:ascii="Times New Roman" w:hAnsi="Times New Roman"/>
                <w:b/>
                <w:sz w:val="18"/>
              </w:rPr>
              <w:t>Microalbumin (mg/L)</w:t>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c>
          <w:tcPr>
            <w:tcW w:type="dxa" w:w="1954"/>
          </w:tcPr>
          <w:p>
            <w:pPr>
              <w:spacing w:before="120" w:after="20" w:line="240" w:lineRule="exact"/>
              <w:jc w:val="center"/>
            </w:pPr>
            <w:r>
              <w:rPr>
                <w:rFonts w:ascii="Times New Roman" w:hAnsi="Times New Roman"/>
                <w:b/>
                <w:sz w:val="18"/>
              </w:rPr>
            </w:r>
          </w:p>
        </w:tc>
      </w:tr>
      <w:tr>
        <w:tc>
          <w:tcPr>
            <w:tcW w:type="dxa" w:w="1954"/>
          </w:tcPr>
          <w:p>
            <w:pPr>
              <w:spacing w:before="0" w:after="20" w:line="240" w:lineRule="exact"/>
              <w:jc w:val="left"/>
            </w:pPr>
            <w:r>
              <w:rPr>
                <w:rFonts w:ascii="Times New Roman" w:hAnsi="Times New Roman"/>
                <w:b w:val="0"/>
                <w:sz w:val="18"/>
              </w:rPr>
              <w:t xml:space="preserve">    </w:t>
            </w:r>
          </w:p>
        </w:tc>
        <w:tc>
          <w:tcPr>
            <w:tcW w:type="dxa" w:w="1954"/>
          </w:tcPr>
          <w:p>
            <w:pPr>
              <w:spacing w:before="0" w:after="20" w:line="240" w:lineRule="exact"/>
              <w:jc w:val="center"/>
            </w:pPr>
            <w:r>
              <w:rPr>
                <w:rFonts w:ascii="Times New Roman" w:hAnsi="Times New Roman"/>
                <w:b w:val="0"/>
                <w:sz w:val="18"/>
              </w:rPr>
              <w:t>Baseline</w:t>
            </w:r>
          </w:p>
        </w:tc>
        <w:tc>
          <w:tcPr>
            <w:tcW w:type="dxa" w:w="1954"/>
          </w:tcPr>
          <w:p>
            <w:pPr>
              <w:spacing w:before="0" w:after="20" w:line="240" w:lineRule="exact"/>
              <w:jc w:val="center"/>
            </w:pPr>
            <w:r>
              <w:rPr>
                <w:rFonts w:ascii="Times New Roman" w:hAnsi="Times New Roman"/>
                <w:b w:val="0"/>
                <w:sz w:val="18"/>
              </w:rPr>
              <w:t>Mean (SD)</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xx.x (xx.x)</w:t>
            </w:r>
          </w:p>
        </w:tc>
        <w:tc>
          <w:tcPr>
            <w:tcW w:type="dxa" w:w="1954"/>
          </w:tcPr>
          <w:p>
            <w:pPr>
              <w:spacing w:before="0" w:after="20" w:line="240" w:lineRule="exact"/>
              <w:jc w:val="center"/>
            </w:pPr>
            <w:r>
              <w:rPr>
                <w:rFonts w:ascii="Times New Roman" w:hAnsi="Times New Roman"/>
                <w:b w:val="0"/>
                <w:sz w:val="18"/>
              </w:rPr>
              <w:t>...</w:t>
            </w:r>
          </w:p>
        </w:tc>
        <w:tc>
          <w:tcPr>
            <w:tcW w:type="dxa" w:w="1954"/>
          </w:tcPr>
          <w:p>
            <w:pPr>
              <w:spacing w:before="0" w:after="20" w:line="240" w:lineRule="exact"/>
              <w:jc w:val="center"/>
            </w:pPr>
            <w:r>
              <w:rPr>
                <w:rFonts w:ascii="Times New Roman" w:hAnsi="Times New Roman"/>
                <w:b w:val="0"/>
                <w:sz w:val="18"/>
              </w:rPr>
              <w:t>xx.x (xx.x)</w:t>
            </w:r>
          </w:p>
        </w:tc>
      </w:tr>
      <w:tr>
        <w:tc>
          <w:tcPr>
            <w:tcW w:type="dxa" w:w="1954"/>
          </w:tcPr>
          <w:p>
            <w:pPr>
              <w:spacing w:before="20" w:after="20" w:line="240" w:lineRule="exact"/>
              <w:jc w:val="left"/>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c>
          <w:tcPr>
            <w:tcW w:type="dxa" w:w="1954"/>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UPCR = Urine Protein/Creatinine Ratio. Listing: L16.2.25.</w:t>
      </w:r>
    </w:p>
    <w:p>
      <w:pPr>
        <w:spacing w:before="0" w:after="0"/>
      </w:pPr>
      <w:r>
        <w:rPr>
          <w:rFonts w:ascii="Times New Roman" w:hAnsi="Times New Roman"/>
          <w:i/>
          <w:sz w:val="16"/>
        </w:rPr>
        <w:t>[3] Abbreviations: UPCR = urine protein-to-creatinine ratio.</w:t>
      </w:r>
    </w:p>
    <w:p>
      <w:pPr>
        <w:spacing w:before="0" w:after="0"/>
      </w:pPr>
      <w:r>
        <w:rPr>
          <w:rFonts w:ascii="Times New Roman" w:hAnsi="Times New Roman"/>
          <w:i/>
          <w:sz w:val="16"/>
        </w:rPr>
        <w:t>[4] Dataset: ADSL, ADLB. Program: t_urine_chem.sas.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14.3.3.1  Mean (+/- SD) Change in Laboratory Parameters Over Time</w:t>
      </w:r>
      <w:r>
        <w:bookmarkStart w:id="0" w:name="F14.3.3.1"/>
        <w:bookmarkEnd w:id="0"/>
      </w:r>
    </w:p>
    <w:p>
      <w:pPr>
        <w:keepNext/>
        <w:spacing w:before="40" w:after="160"/>
      </w:pPr>
      <w:r>
        <w:rPr>
          <w:rFonts w:ascii="Times New Roman" w:hAnsi="Times New Roman"/>
          <w:i/>
          <w:sz w:val="18"/>
        </w:rPr>
        <w:t>Analysis Set: Safety Population</w:t>
      </w:r>
    </w:p>
    <w:p>
      <w:pPr>
        <w:spacing w:before="120" w:after="40"/>
        <w:jc w:val="center"/>
      </w:pPr>
      <w:r>
        <w:drawing>
          <wp:inline xmlns:a="http://schemas.openxmlformats.org/drawingml/2006/main" xmlns:pic="http://schemas.openxmlformats.org/drawingml/2006/picture">
            <wp:extent cx="5486400" cy="3484030"/>
            <wp:docPr id="17" name="Picture 1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3484030"/>
                    </a:xfrm>
                    <a:prstGeom prst="rect"/>
                  </pic:spPr>
                </pic:pic>
              </a:graphicData>
            </a:graphic>
          </wp:inline>
        </w:drawing>
      </w:r>
    </w:p>
    <w:p>
      <w:pPr>
        <w:keepNext/>
        <w:spacing w:before="0" w:after="40"/>
        <w:jc w:val="center"/>
      </w:pPr>
      <w:r>
        <w:rPr>
          <w:rFonts w:ascii="Times New Roman" w:hAnsi="Times New Roman"/>
          <w:i/>
          <w:color w:val="646464"/>
          <w:sz w:val="16"/>
        </w:rPr>
        <w:t>[Figure 14.3.3.1: Multi-panel line plot: mean ± SD change in Hgb, Plt, ANC, ALT, AST, Creatinine.]</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Dataset: ADSL, ADLB. Program: f_lab_longitudinal.sas.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14.3.3.2  Box Plot — Liver Function Tests by Visit</w:t>
      </w:r>
      <w:r>
        <w:bookmarkStart w:id="0" w:name="F14.3.3.2"/>
        <w:bookmarkEnd w:id="0"/>
      </w:r>
    </w:p>
    <w:p>
      <w:pPr>
        <w:keepNext/>
        <w:spacing w:before="40" w:after="160"/>
      </w:pPr>
      <w:r>
        <w:rPr>
          <w:rFonts w:ascii="Times New Roman" w:hAnsi="Times New Roman"/>
          <w:i/>
          <w:sz w:val="18"/>
        </w:rPr>
        <w:t>Analysis Set: Safety Population</w:t>
      </w:r>
    </w:p>
    <w:p>
      <w:pPr>
        <w:spacing w:before="120" w:after="40"/>
        <w:jc w:val="center"/>
      </w:pPr>
      <w:r>
        <w:drawing>
          <wp:inline xmlns:a="http://schemas.openxmlformats.org/drawingml/2006/main" xmlns:pic="http://schemas.openxmlformats.org/drawingml/2006/picture">
            <wp:extent cx="5486400" cy="3484030"/>
            <wp:docPr id="18" name="Picture 1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3484030"/>
                    </a:xfrm>
                    <a:prstGeom prst="rect"/>
                  </pic:spPr>
                </pic:pic>
              </a:graphicData>
            </a:graphic>
          </wp:inline>
        </w:drawing>
      </w:r>
    </w:p>
    <w:p>
      <w:pPr>
        <w:keepNext/>
        <w:spacing w:before="0" w:after="40"/>
        <w:jc w:val="center"/>
      </w:pPr>
      <w:r>
        <w:rPr>
          <w:rFonts w:ascii="Times New Roman" w:hAnsi="Times New Roman"/>
          <w:i/>
          <w:color w:val="646464"/>
          <w:sz w:val="16"/>
        </w:rPr>
        <w:t>[Figure 14.3.3.2: Box plots: ALT, AST, ALP, Total Bilirubin by visit, side-by-side arms, ULN ref lines.]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ADLB. Program: f_lft_box.sas.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14.3.3.3  Liver Function Panel — Mean Over Time with ULN Reference</w:t>
      </w:r>
      <w:r>
        <w:bookmarkStart w:id="0" w:name="F14.3.3.3"/>
        <w:bookmarkEnd w:id="0"/>
      </w:r>
    </w:p>
    <w:p>
      <w:pPr>
        <w:keepNext/>
        <w:spacing w:before="40" w:after="160"/>
      </w:pPr>
      <w:r>
        <w:rPr>
          <w:rFonts w:ascii="Times New Roman" w:hAnsi="Times New Roman"/>
          <w:i/>
          <w:sz w:val="18"/>
        </w:rPr>
        <w:t>Analysis Set: Safety Population</w:t>
      </w:r>
    </w:p>
    <w:p>
      <w:pPr>
        <w:spacing w:before="120" w:after="40"/>
        <w:jc w:val="center"/>
      </w:pPr>
      <w:r>
        <w:drawing>
          <wp:inline xmlns:a="http://schemas.openxmlformats.org/drawingml/2006/main" xmlns:pic="http://schemas.openxmlformats.org/drawingml/2006/picture">
            <wp:extent cx="5029200" cy="3070015"/>
            <wp:docPr id="19" name="Picture 1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070015"/>
                    </a:xfrm>
                    <a:prstGeom prst="rect"/>
                  </pic:spPr>
                </pic:pic>
              </a:graphicData>
            </a:graphic>
          </wp:inline>
        </w:drawing>
      </w:r>
    </w:p>
    <w:p>
      <w:pPr>
        <w:keepNext/>
        <w:spacing w:before="0" w:after="40"/>
        <w:jc w:val="center"/>
      </w:pPr>
      <w:r>
        <w:rPr>
          <w:rFonts w:ascii="Times New Roman" w:hAnsi="Times New Roman"/>
          <w:i/>
          <w:color w:val="646464"/>
          <w:sz w:val="16"/>
        </w:rPr>
        <w:t>[Figure 14.3.3.3: Line plot: ALT, AST, ALP, TBL means over visits with ULN lines.]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ADLB. Program: f_lft_uln.sas.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14.3.3.4  Renal Safety Panel — eGFR Trajectory Over Time by Treatment Arm</w:t>
      </w:r>
      <w:r>
        <w:bookmarkStart w:id="0" w:name="F14.3.3.4"/>
        <w:bookmarkEnd w:id="0"/>
      </w:r>
    </w:p>
    <w:p>
      <w:pPr>
        <w:keepNext/>
        <w:spacing w:before="40" w:after="160"/>
      </w:pPr>
      <w:r>
        <w:rPr>
          <w:rFonts w:ascii="Times New Roman" w:hAnsi="Times New Roman"/>
          <w:i/>
          <w:sz w:val="18"/>
        </w:rPr>
        <w:t>Analysis Set: Safety Population</w:t>
      </w:r>
    </w:p>
    <w:p>
      <w:pPr>
        <w:spacing w:before="120" w:after="40"/>
        <w:jc w:val="center"/>
      </w:pPr>
      <w:r>
        <w:drawing>
          <wp:inline xmlns:a="http://schemas.openxmlformats.org/drawingml/2006/main" xmlns:pic="http://schemas.openxmlformats.org/drawingml/2006/picture">
            <wp:extent cx="5029200" cy="3070015"/>
            <wp:docPr id="20" name="Picture 2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070015"/>
                    </a:xfrm>
                    <a:prstGeom prst="rect"/>
                  </pic:spPr>
                </pic:pic>
              </a:graphicData>
            </a:graphic>
          </wp:inline>
        </w:drawing>
      </w:r>
    </w:p>
    <w:p>
      <w:pPr>
        <w:keepNext/>
        <w:spacing w:before="0" w:after="40"/>
        <w:jc w:val="center"/>
      </w:pPr>
      <w:r>
        <w:rPr>
          <w:rFonts w:ascii="Times New Roman" w:hAnsi="Times New Roman"/>
          <w:i/>
          <w:color w:val="646464"/>
          <w:sz w:val="16"/>
        </w:rPr>
        <w:t>[Figure 14.3.3.4: Line plot: mean (+/-SD) eGFR (CKD-EPI) over visits, individual subject spaghetti lines in background, treatment arms in different colors.]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Dataset: ADSL, ADLB. Program: f_egfr_traj.sas.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14.3.3.5  Laboratory Toxicity Heatmap — CTCAE Grade by Parameter and Subject</w:t>
      </w:r>
      <w:r>
        <w:bookmarkStart w:id="0" w:name="F14.3.3.5"/>
        <w:bookmarkEnd w:id="0"/>
      </w:r>
    </w:p>
    <w:p>
      <w:pPr>
        <w:keepNext/>
        <w:spacing w:before="40" w:after="160"/>
      </w:pPr>
      <w:r>
        <w:rPr>
          <w:rFonts w:ascii="Times New Roman" w:hAnsi="Times New Roman"/>
          <w:i/>
          <w:sz w:val="18"/>
        </w:rPr>
        <w:t>Analysis Set: Safety Population</w:t>
      </w:r>
    </w:p>
    <w:p>
      <w:pPr>
        <w:spacing w:before="120" w:after="40"/>
        <w:jc w:val="center"/>
      </w:pPr>
      <w:r>
        <w:drawing>
          <wp:inline xmlns:a="http://schemas.openxmlformats.org/drawingml/2006/main" xmlns:pic="http://schemas.openxmlformats.org/drawingml/2006/picture">
            <wp:extent cx="5486400" cy="3709372"/>
            <wp:docPr id="21" name="Picture 2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3709372"/>
                    </a:xfrm>
                    <a:prstGeom prst="rect"/>
                  </pic:spPr>
                </pic:pic>
              </a:graphicData>
            </a:graphic>
          </wp:inline>
        </w:drawing>
      </w:r>
    </w:p>
    <w:p>
      <w:pPr>
        <w:keepNext/>
        <w:spacing w:before="0" w:after="40"/>
        <w:jc w:val="center"/>
      </w:pPr>
      <w:r>
        <w:rPr>
          <w:rFonts w:ascii="Times New Roman" w:hAnsi="Times New Roman"/>
          <w:i/>
          <w:color w:val="646464"/>
          <w:sz w:val="16"/>
        </w:rPr>
        <w:t>[Figure 14.3.3.5: Heatmap: subjects (rows) vs. lab parameters (columns), color = worst CTCAE grade. Sidebar: treatment arm. Parameters: Hgb, Plt, Neut, ALT, AST, TBL, Cr.]</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L16.2.7</w:t>
      </w:r>
    </w:p>
    <w:p>
      <w:pPr>
        <w:spacing w:before="0" w:after="0"/>
      </w:pPr>
      <w:r>
        <w:rPr>
          <w:rFonts w:ascii="Times New Roman" w:hAnsi="Times New Roman"/>
          <w:i/>
          <w:sz w:val="16"/>
        </w:rPr>
        <w:t>[2] Dataset: ADSL, ADLB. Program: f_lab_heatmap.sas.</w:t>
      </w:r>
      <w:r>
        <w:br w:type="page"/>
      </w:r>
    </w:p>
    <w:p>
      <w:pPr>
        <w:pStyle w:val="Heading3"/>
        <w:spacing w:before="120" w:after="80"/>
      </w:pPr>
      <w:r>
        <w:rPr>
          <w:rFonts w:ascii="Times New Roman" w:hAnsi="Times New Roman"/>
          <w:b/>
          <w:color w:val="003366"/>
          <w:sz w:val="22"/>
        </w:rPr>
        <w:t>14.3.4  Vital Signs, ECG, and Physical Examinations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  Vital Signs — Summary Statistics by Visit</w:t>
      </w:r>
      <w:r>
        <w:bookmarkStart w:id="0" w:name="T14.3.4.1"/>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Systolic BP (mmHg)</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Week 4</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Diastolic BP (mmHg)</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Heart Rate (bpm)</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Abbreviations: BP = blood pressure.</w:t>
      </w:r>
    </w:p>
    <w:p>
      <w:pPr>
        <w:spacing w:before="0" w:after="0"/>
      </w:pPr>
      <w:r>
        <w:rPr>
          <w:rFonts w:ascii="Times New Roman" w:hAnsi="Times New Roman"/>
          <w:i/>
          <w:sz w:val="16"/>
        </w:rPr>
        <w:t>[3] Dataset: ADSL, ADVS. Program: t_vs_by_visit.sas.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14.3.4.2  Vital Signs — Clinically Notable Abnormalities by Visit</w:t>
      </w:r>
      <w:r>
        <w:bookmarkStart w:id="0" w:name="T14.3.4.2"/>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Parameter</w:t>
            </w:r>
          </w:p>
        </w:tc>
        <w:tc>
          <w:tcPr>
            <w:tcW w:type="dxa" w:w="2280"/>
            <w:shd w:fill="F2F2F2" w:val="clear"/>
            <w:tcBorders>
              <w:bottom w:val="single" w:sz="4" w:space="0" w:color="000000"/>
            </w:tcBorders>
          </w:tcPr>
          <w:p>
            <w:pPr>
              <w:jc w:val="center"/>
            </w:pPr>
            <w:r>
              <w:rPr>
                <w:rFonts w:ascii="Times New Roman" w:hAnsi="Times New Roman"/>
                <w:b/>
                <w:sz w:val="18"/>
              </w:rPr>
              <w:t>Criterion</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280"/>
          </w:tcPr>
          <w:p>
            <w:pPr>
              <w:spacing w:before="20" w:after="20" w:line="240" w:lineRule="exact"/>
              <w:jc w:val="left"/>
            </w:pPr>
            <w:r>
              <w:rPr>
                <w:rFonts w:ascii="Times New Roman" w:hAnsi="Times New Roman"/>
                <w:b w:val="0"/>
                <w:sz w:val="18"/>
              </w:rPr>
              <w:t>SBP</w:t>
            </w:r>
          </w:p>
        </w:tc>
        <w:tc>
          <w:tcPr>
            <w:tcW w:type="dxa" w:w="2280"/>
          </w:tcPr>
          <w:p>
            <w:pPr>
              <w:spacing w:before="20" w:after="20" w:line="240" w:lineRule="exact"/>
              <w:jc w:val="center"/>
            </w:pPr>
            <w:r>
              <w:rPr>
                <w:rFonts w:ascii="Times New Roman" w:hAnsi="Times New Roman"/>
                <w:b w:val="0"/>
                <w:sz w:val="18"/>
              </w:rPr>
              <w:t>&lt;=90 mmHg and decrease &gt;=20</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SBP</w:t>
            </w:r>
          </w:p>
        </w:tc>
        <w:tc>
          <w:tcPr>
            <w:tcW w:type="dxa" w:w="2280"/>
          </w:tcPr>
          <w:p>
            <w:pPr>
              <w:spacing w:before="20" w:after="20" w:line="240" w:lineRule="exact"/>
              <w:jc w:val="center"/>
            </w:pPr>
            <w:r>
              <w:rPr>
                <w:rFonts w:ascii="Times New Roman" w:hAnsi="Times New Roman"/>
                <w:b w:val="0"/>
                <w:sz w:val="18"/>
              </w:rPr>
              <w:t>&gt;=180 mmHg and increase &gt;=20</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DBP</w:t>
            </w:r>
          </w:p>
        </w:tc>
        <w:tc>
          <w:tcPr>
            <w:tcW w:type="dxa" w:w="2280"/>
          </w:tcPr>
          <w:p>
            <w:pPr>
              <w:spacing w:before="20" w:after="20" w:line="240" w:lineRule="exact"/>
              <w:jc w:val="center"/>
            </w:pPr>
            <w:r>
              <w:rPr>
                <w:rFonts w:ascii="Times New Roman" w:hAnsi="Times New Roman"/>
                <w:b w:val="0"/>
                <w:sz w:val="18"/>
              </w:rPr>
              <w:t>&lt;=50 mmHg and decrease &gt;=15</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Abbreviations: SBP = systolic blood pressure; DBP = diastolic blood pressure.</w:t>
      </w:r>
    </w:p>
    <w:p>
      <w:pPr>
        <w:spacing w:before="0" w:after="0"/>
      </w:pPr>
      <w:r>
        <w:rPr>
          <w:rFonts w:ascii="Times New Roman" w:hAnsi="Times New Roman"/>
          <w:i/>
          <w:sz w:val="16"/>
        </w:rPr>
        <w:t>[3] Statistical definitions: Percentages use subjects evaluable at the corresponding visit or cycle within each treatment group unless otherwise specified.</w:t>
      </w:r>
    </w:p>
    <w:p>
      <w:pPr>
        <w:spacing w:before="0" w:after="0"/>
      </w:pPr>
      <w:r>
        <w:rPr>
          <w:rFonts w:ascii="Times New Roman" w:hAnsi="Times New Roman"/>
          <w:i/>
          <w:sz w:val="16"/>
        </w:rPr>
        <w:t>[4] Dataset: ADSL, ADVS. Program: t_vs_notable.sas.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14.3.4.3  ECG Parameters — Summary Statistics by Visit</w:t>
      </w:r>
      <w:r>
        <w:bookmarkStart w:id="0" w:name="T14.3.4.3"/>
        <w:bookmarkEnd w:id="0"/>
      </w:r>
    </w:p>
    <w:p>
      <w:pPr>
        <w:keepNext/>
        <w:spacing w:before="40" w:after="160"/>
      </w:pPr>
      <w:r>
        <w:rPr>
          <w:rFonts w:ascii="Times New Roman" w:hAnsi="Times New Roman"/>
          <w:i/>
          <w:sz w:val="18"/>
        </w:rPr>
        <w:t>Analysis Set: Safety Population with ECG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QTcF (ms)</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w:t>
            </w:r>
          </w:p>
        </w:tc>
        <w:tc>
          <w:tcPr>
            <w:tcW w:type="dxa" w:w="2280"/>
          </w:tcPr>
          <w:p>
            <w:pPr>
              <w:spacing w:before="20" w:after="20" w:line="240" w:lineRule="exact"/>
              <w:jc w:val="center"/>
            </w:pPr>
            <w:r>
              <w:rPr>
                <w:rFonts w:ascii="Times New Roman" w:hAnsi="Times New Roman"/>
                <w:b w:val="0"/>
                <w:sz w:val="18"/>
              </w:rPr>
              <w:t>xxx (xx)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w:t>
            </w:r>
          </w:p>
        </w:tc>
      </w:tr>
      <w:tr>
        <w:tc>
          <w:tcPr>
            <w:tcW w:type="dxa" w:w="2280"/>
          </w:tcPr>
          <w:p>
            <w:pPr>
              <w:spacing w:before="20" w:after="20" w:line="240" w:lineRule="exact"/>
              <w:jc w:val="left"/>
            </w:pPr>
            <w:r>
              <w:rPr>
                <w:rFonts w:ascii="Times New Roman" w:hAnsi="Times New Roman"/>
                <w:b w:val="0"/>
                <w:sz w:val="18"/>
              </w:rPr>
              <w:t>Week 4</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w:t>
            </w:r>
          </w:p>
        </w:tc>
        <w:tc>
          <w:tcPr>
            <w:tcW w:type="dxa" w:w="2280"/>
          </w:tcPr>
          <w:p>
            <w:pPr>
              <w:spacing w:before="20" w:after="20" w:line="240" w:lineRule="exact"/>
              <w:jc w:val="center"/>
            </w:pPr>
            <w:r>
              <w:rPr>
                <w:rFonts w:ascii="Times New Roman" w:hAnsi="Times New Roman"/>
                <w:b w:val="0"/>
                <w:sz w:val="18"/>
              </w:rPr>
              <w:t>xxx (xx)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w:t>
            </w:r>
          </w:p>
        </w:tc>
      </w:tr>
      <w:tr>
        <w:tc>
          <w:tcPr>
            <w:tcW w:type="dxa" w:w="2280"/>
          </w:tcPr>
          <w:p>
            <w:pPr>
              <w:spacing w:before="20" w:after="20" w:line="240" w:lineRule="exact"/>
              <w:jc w:val="left"/>
            </w:pPr>
            <w:r>
              <w:rPr>
                <w:rFonts w:ascii="Times New Roman" w:hAnsi="Times New Roman"/>
                <w:b w:val="0"/>
                <w:sz w:val="18"/>
              </w:rPr>
              <w:t xml:space="preserve">  Change from BL</w:t>
            </w:r>
          </w:p>
        </w:tc>
        <w:tc>
          <w:tcPr>
            <w:tcW w:type="dxa" w:w="2280"/>
          </w:tcPr>
          <w:p>
            <w:pPr>
              <w:spacing w:before="20" w:after="20" w:line="240" w:lineRule="exact"/>
              <w:jc w:val="center"/>
            </w:pPr>
            <w:r>
              <w:rPr>
                <w:rFonts w:ascii="Times New Roman" w:hAnsi="Times New Roman"/>
                <w:b w:val="0"/>
                <w:sz w:val="18"/>
              </w:rPr>
              <w:t>xx (xx)</w:t>
            </w:r>
          </w:p>
        </w:tc>
        <w:tc>
          <w:tcPr>
            <w:tcW w:type="dxa" w:w="2280"/>
          </w:tcPr>
          <w:p>
            <w:pPr>
              <w:spacing w:before="20" w:after="20" w:line="240" w:lineRule="exact"/>
              <w:jc w:val="center"/>
            </w:pPr>
            <w:r>
              <w:rPr>
                <w:rFonts w:ascii="Times New Roman" w:hAnsi="Times New Roman"/>
                <w:b w:val="0"/>
                <w:sz w:val="18"/>
              </w:rPr>
              <w:t>xx (xx)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w:t>
            </w:r>
          </w:p>
        </w:tc>
        <w:tc>
          <w:tcPr>
            <w:tcW w:type="dxa" w:w="2280"/>
          </w:tcPr>
          <w:p>
            <w:pPr>
              <w:spacing w:before="20" w:after="20" w:line="240" w:lineRule="exact"/>
              <w:jc w:val="center"/>
            </w:pPr>
            <w:r>
              <w:rPr>
                <w:rFonts w:ascii="Times New Roman" w:hAnsi="Times New Roman"/>
                <w:b w:val="0"/>
                <w:sz w:val="18"/>
              </w:rPr>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L16.2.9</w:t>
      </w:r>
    </w:p>
    <w:p>
      <w:pPr>
        <w:spacing w:before="0" w:after="0"/>
      </w:pPr>
      <w:r>
        <w:rPr>
          <w:rFonts w:ascii="Times New Roman" w:hAnsi="Times New Roman"/>
          <w:i/>
          <w:sz w:val="16"/>
        </w:rPr>
        <w:t>[2] QTcF = Fridericia correction. Triplicate ECGs at each visit; mean analyzed.</w:t>
      </w:r>
    </w:p>
    <w:p>
      <w:pPr>
        <w:spacing w:before="0" w:after="0"/>
      </w:pPr>
      <w:r>
        <w:rPr>
          <w:rFonts w:ascii="Times New Roman" w:hAnsi="Times New Roman"/>
          <w:i/>
          <w:sz w:val="16"/>
        </w:rPr>
        <w:t>[3] Abbreviations: BL = baseline; ECG = electrocardiogram; QTcF = QT interval corrected using Fridericia's formula.</w:t>
      </w:r>
    </w:p>
    <w:p>
      <w:pPr>
        <w:spacing w:before="0" w:after="0"/>
      </w:pPr>
      <w:r>
        <w:rPr>
          <w:rFonts w:ascii="Times New Roman" w:hAnsi="Times New Roman"/>
          <w:i/>
          <w:sz w:val="16"/>
        </w:rPr>
        <w:t>[4] Dataset: ADSL, ADEG. Program: t_ecg_by_visit.sas.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14.3.4.4  ECG QTcF Categorical Analysis</w:t>
      </w:r>
      <w:r>
        <w:bookmarkStart w:id="0" w:name="T14.3.4.4"/>
        <w:bookmarkEnd w:id="0"/>
      </w:r>
    </w:p>
    <w:p>
      <w:pPr>
        <w:keepNext/>
        <w:spacing w:before="40" w:after="160"/>
      </w:pPr>
      <w:r>
        <w:rPr>
          <w:rFonts w:ascii="Times New Roman" w:hAnsi="Times New Roman"/>
          <w:i/>
          <w:sz w:val="18"/>
        </w:rPr>
        <w:t>Analysis Set: Safety Population with ECG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QTcF 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 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 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 n (%)</w:t>
            </w:r>
          </w:p>
        </w:tc>
      </w:tr>
      <w:tr>
        <w:tc>
          <w:tcPr>
            <w:tcW w:type="dxa" w:w="2736"/>
          </w:tcPr>
          <w:p>
            <w:pPr>
              <w:spacing w:before="20" w:after="20" w:line="240" w:lineRule="exact"/>
              <w:jc w:val="left"/>
            </w:pPr>
            <w:r>
              <w:rPr>
                <w:rFonts w:ascii="Times New Roman" w:hAnsi="Times New Roman"/>
                <w:b w:val="0"/>
                <w:sz w:val="18"/>
              </w:rPr>
              <w:t>Absolute QTcF &lt;=450 ms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Absolute QTcF &gt;450-480 ms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Absolute QTcF &gt;480-500 ms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Absolute QTcF &gt;500 ms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Change from BL &lt;=30 ms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Change from BL &gt;30-60 ms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Change from BL &gt;60 ms</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L16.2.9</w:t>
      </w:r>
    </w:p>
    <w:p>
      <w:pPr>
        <w:spacing w:before="0" w:after="0"/>
      </w:pPr>
      <w:r>
        <w:rPr>
          <w:rFonts w:ascii="Times New Roman" w:hAnsi="Times New Roman"/>
          <w:i/>
          <w:sz w:val="16"/>
        </w:rPr>
        <w:t>[2] Abbreviations: BL = baseline; ECG = electrocardiogram; QTcF = QT interval corrected using Fridericia's formula.</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ADSL, ADEG. Program: t_qtcf_cat.sas.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14.3.4.5  ECG Qualitative Assessment — Shift Table</w:t>
      </w:r>
      <w:r>
        <w:bookmarkStart w:id="0" w:name="T14.3.4.5"/>
        <w:bookmarkEnd w:id="0"/>
      </w:r>
    </w:p>
    <w:p>
      <w:pPr>
        <w:keepNext/>
        <w:spacing w:before="40" w:after="160"/>
      </w:pPr>
      <w:r>
        <w:rPr>
          <w:rFonts w:ascii="Times New Roman" w:hAnsi="Times New Roman"/>
          <w:i/>
          <w:sz w:val="18"/>
        </w:rPr>
        <w:t>Analysis Set: Safety Population with ECG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Baseline</w:t>
            </w:r>
          </w:p>
        </w:tc>
        <w:tc>
          <w:tcPr>
            <w:tcW w:type="dxa" w:w="2280"/>
            <w:shd w:fill="F2F2F2" w:val="clear"/>
            <w:tcBorders>
              <w:bottom w:val="single" w:sz="4" w:space="0" w:color="000000"/>
            </w:tcBorders>
          </w:tcPr>
          <w:p>
            <w:pPr>
              <w:spacing w:before="0" w:after="0"/>
              <w:jc w:val="center"/>
            </w:pPr>
            <w:r>
              <w:rPr>
                <w:rFonts w:ascii="Times New Roman" w:hAnsi="Times New Roman"/>
                <w:b/>
                <w:sz w:val="18"/>
              </w:rPr>
              <w:t>Worst</w:t>
            </w:r>
          </w:p>
          <w:p>
            <w:pPr>
              <w:spacing w:before="0" w:after="0"/>
              <w:jc w:val="center"/>
            </w:pPr>
            <w:r>
              <w:rPr>
                <w:rFonts w:ascii="Times New Roman" w:hAnsi="Times New Roman"/>
                <w:b/>
                <w:sz w:val="18"/>
              </w:rPr>
              <w:t>Post-Baseline</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 (%)</w:t>
            </w:r>
          </w:p>
        </w:tc>
      </w:tr>
      <w:tr>
        <w:tc>
          <w:tcPr>
            <w:tcW w:type="dxa" w:w="2280"/>
          </w:tcPr>
          <w:p>
            <w:pPr>
              <w:spacing w:before="20" w:after="20" w:line="240" w:lineRule="exact"/>
              <w:jc w:val="left"/>
            </w:pPr>
            <w:r>
              <w:rPr>
                <w:rFonts w:ascii="Times New Roman" w:hAnsi="Times New Roman"/>
                <w:b w:val="0"/>
                <w:sz w:val="18"/>
              </w:rPr>
              <w:t>Normal</w:t>
            </w:r>
          </w:p>
        </w:tc>
        <w:tc>
          <w:tcPr>
            <w:tcW w:type="dxa" w:w="2280"/>
          </w:tcPr>
          <w:p>
            <w:pPr>
              <w:spacing w:before="20" w:after="20" w:line="240" w:lineRule="exact"/>
              <w:jc w:val="center"/>
            </w:pPr>
            <w:r>
              <w:rPr>
                <w:rFonts w:ascii="Times New Roman" w:hAnsi="Times New Roman"/>
                <w:b w:val="0"/>
                <w:sz w:val="18"/>
              </w:rPr>
              <w:t>Normal</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Normal</w:t>
            </w:r>
          </w:p>
        </w:tc>
        <w:tc>
          <w:tcPr>
            <w:tcW w:type="dxa" w:w="2280"/>
          </w:tcPr>
          <w:p>
            <w:pPr>
              <w:spacing w:before="20" w:after="20" w:line="240" w:lineRule="exact"/>
              <w:jc w:val="center"/>
            </w:pPr>
            <w:r>
              <w:rPr>
                <w:rFonts w:ascii="Times New Roman" w:hAnsi="Times New Roman"/>
                <w:b w:val="0"/>
                <w:sz w:val="18"/>
              </w:rPr>
              <w:t>Abnormal NCS</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Normal</w:t>
            </w:r>
          </w:p>
        </w:tc>
        <w:tc>
          <w:tcPr>
            <w:tcW w:type="dxa" w:w="2280"/>
          </w:tcPr>
          <w:p>
            <w:pPr>
              <w:spacing w:before="20" w:after="20" w:line="240" w:lineRule="exact"/>
              <w:jc w:val="center"/>
            </w:pPr>
            <w:r>
              <w:rPr>
                <w:rFonts w:ascii="Times New Roman" w:hAnsi="Times New Roman"/>
                <w:b w:val="0"/>
                <w:sz w:val="18"/>
              </w:rPr>
              <w:t>Abnormal CS</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L16.2.9</w:t>
      </w:r>
    </w:p>
    <w:p>
      <w:pPr>
        <w:spacing w:before="0" w:after="0"/>
      </w:pPr>
      <w:r>
        <w:rPr>
          <w:rFonts w:ascii="Times New Roman" w:hAnsi="Times New Roman"/>
          <w:i/>
          <w:sz w:val="16"/>
        </w:rPr>
        <w:t>[2] NCS = Not Clinically Significant. CS = Clinically Significant.</w:t>
      </w:r>
    </w:p>
    <w:p>
      <w:pPr>
        <w:spacing w:before="0" w:after="0"/>
      </w:pPr>
      <w:r>
        <w:rPr>
          <w:rFonts w:ascii="Times New Roman" w:hAnsi="Times New Roman"/>
          <w:i/>
          <w:sz w:val="16"/>
        </w:rPr>
        <w:t>[3] Abbreviations: ECG = electrocardiogram.</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ADEG. Program: t_ecg_shift.sas.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14.3.4.6  Vital Signs — Shift Table (Normal to Clinically Notable)</w:t>
      </w:r>
      <w:r>
        <w:bookmarkStart w:id="0" w:name="T14.3.4.6"/>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Criterion</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736"/>
          </w:tcPr>
          <w:p>
            <w:pPr>
              <w:spacing w:before="120" w:after="20" w:line="240" w:lineRule="exact"/>
              <w:jc w:val="left"/>
            </w:pPr>
            <w:r>
              <w:rPr>
                <w:rFonts w:ascii="Times New Roman" w:hAnsi="Times New Roman"/>
                <w:b/>
                <w:sz w:val="18"/>
              </w:rPr>
              <w:t>Systolic BP</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Baseline Normal → High (&gt;=160 mmHg)</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Baseline Normal → Low (&lt;=90 mmHg)</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Diastolic BP</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Baseline Normal → High (&gt;=100 mmHg)</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Baseline Normal → Low (&lt;=50 mmHg)</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Heart Rate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Baseline Normal → Tachycardia (&gt;=100 bpm)</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Baseline Normal → Bradycardia (&lt;=50 bpm)</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QTcF Interval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Baseline &lt;=450 ms → &gt;450-480 ms</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Baseline &lt;=450 ms → &gt;480-500 ms</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Baseline &lt;=450 ms → &gt;500 ms</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Increase from BL &gt;30 ms</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Increase from BL &gt;60 ms</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N = subjects with both baseline and &gt;=1 post-baseline assessment.</w:t>
      </w:r>
    </w:p>
    <w:p>
      <w:pPr>
        <w:spacing w:before="0" w:after="0"/>
      </w:pPr>
      <w:r>
        <w:rPr>
          <w:rFonts w:ascii="Times New Roman" w:hAnsi="Times New Roman"/>
          <w:i/>
          <w:sz w:val="16"/>
        </w:rPr>
        <w:t>[3] Clinically notable thresholds per protocol-defined criteria.</w:t>
      </w:r>
    </w:p>
    <w:p>
      <w:pPr>
        <w:spacing w:before="0" w:after="0"/>
      </w:pPr>
      <w:r>
        <w:rPr>
          <w:rFonts w:ascii="Times New Roman" w:hAnsi="Times New Roman"/>
          <w:i/>
          <w:sz w:val="16"/>
        </w:rPr>
        <w:t>[4] Abbreviations: BL = baseline; QTcF = QT interval corrected using Fridericia's formula; BP = blood pressure.</w:t>
      </w:r>
    </w:p>
    <w:p>
      <w:pPr>
        <w:spacing w:before="0" w:after="0"/>
      </w:pPr>
      <w:r>
        <w:rPr>
          <w:rFonts w:ascii="Times New Roman" w:hAnsi="Times New Roman"/>
          <w:i/>
          <w:sz w:val="16"/>
        </w:rPr>
        <w:t>[5] Statistical definitions: Percentages use the stated analysis population within each treatment group unless otherwise specified.</w:t>
      </w:r>
    </w:p>
    <w:p>
      <w:pPr>
        <w:spacing w:before="0" w:after="0"/>
      </w:pPr>
      <w:r>
        <w:rPr>
          <w:rFonts w:ascii="Times New Roman" w:hAnsi="Times New Roman"/>
          <w:i/>
          <w:sz w:val="16"/>
        </w:rPr>
        <w:t>[6] Dataset: ADSL, ADVS, ADEG. Program: t_vs_shift.sas.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14.3.4.7  Body Weight — Change from Baseline by Visit</w:t>
      </w:r>
      <w:r>
        <w:bookmarkStart w:id="0" w:name="T14.3.4.7"/>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Baseline</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n</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Mean (SD), kg</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Week 4</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n</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Mean (SD), kg</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Week 12</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End of Treatment</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Mean Chg from BL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Weight Change Category at EOT</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&gt;=10% Decrease</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&gt;=5% to &lt;10% Decrease</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Within ±5%</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&gt;=5% to &lt;10% Increase</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&gt;=10% Increase</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Baseline = last assessment before first dose. Change from BL = visit value − baseline value.</w:t>
      </w:r>
    </w:p>
    <w:p>
      <w:pPr>
        <w:spacing w:before="0" w:after="0"/>
      </w:pPr>
      <w:r>
        <w:rPr>
          <w:rFonts w:ascii="Times New Roman" w:hAnsi="Times New Roman"/>
          <w:i/>
          <w:sz w:val="16"/>
        </w:rPr>
        <w:t>[3] Percentages based on subjects with non-missing data at each visit.</w:t>
      </w:r>
    </w:p>
    <w:p>
      <w:pPr>
        <w:spacing w:before="0" w:after="0"/>
      </w:pPr>
      <w:r>
        <w:rPr>
          <w:rFonts w:ascii="Times New Roman" w:hAnsi="Times New Roman"/>
          <w:i/>
          <w:sz w:val="16"/>
        </w:rPr>
        <w:t>[4] Abbreviations: BL = baseline; EOT = end of treatment.</w:t>
      </w:r>
    </w:p>
    <w:p>
      <w:pPr>
        <w:spacing w:before="0" w:after="0"/>
      </w:pPr>
      <w:r>
        <w:rPr>
          <w:rFonts w:ascii="Times New Roman" w:hAnsi="Times New Roman"/>
          <w:i/>
          <w:sz w:val="16"/>
        </w:rPr>
        <w:t>[5] Dataset: ADSL, ADVS. Program: t_weight_chg.sas.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14.3.4.8  ECG Parameters — Quantitative Change from Baseline by Visit</w:t>
      </w:r>
      <w:r>
        <w:bookmarkStart w:id="0" w:name="T14.3.4.8"/>
        <w:bookmarkEnd w:id="0"/>
      </w:r>
    </w:p>
    <w:p>
      <w:pPr>
        <w:keepNext/>
        <w:spacing w:before="40" w:after="160"/>
      </w:pPr>
      <w:r>
        <w:rPr>
          <w:rFonts w:ascii="Times New Roman" w:hAnsi="Times New Roman"/>
          <w:i/>
          <w:sz w:val="18"/>
        </w:rPr>
        <w:t>Analysis Set: Safety Population with ECG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Heart Rate (bpm)</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PR Interval (ms)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QRS Duration (ms)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QTcF Interval (ms)</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4</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Week 12</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Mean Chg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L16.2.9</w:t>
      </w:r>
    </w:p>
    <w:p>
      <w:pPr>
        <w:spacing w:before="0" w:after="0"/>
      </w:pPr>
      <w:r>
        <w:rPr>
          <w:rFonts w:ascii="Times New Roman" w:hAnsi="Times New Roman"/>
          <w:i/>
          <w:sz w:val="16"/>
        </w:rPr>
        <w:t>[2] QTcF = Fridericia correction. Triplicate ECGs averaged per timepoint. Change = post-baseline − baseline.</w:t>
      </w:r>
    </w:p>
    <w:p>
      <w:pPr>
        <w:spacing w:before="0" w:after="0"/>
      </w:pPr>
      <w:r>
        <w:rPr>
          <w:rFonts w:ascii="Times New Roman" w:hAnsi="Times New Roman"/>
          <w:i/>
          <w:sz w:val="16"/>
        </w:rPr>
        <w:t>[3] Abbreviations: PR = partial response; ECG = electrocardiogram; QTcF = QT interval corrected using Fridericia's formula; QRS = ventricular depolarization complex.</w:t>
      </w:r>
    </w:p>
    <w:p>
      <w:pPr>
        <w:spacing w:before="0" w:after="0"/>
      </w:pPr>
      <w:r>
        <w:rPr>
          <w:rFonts w:ascii="Times New Roman" w:hAnsi="Times New Roman"/>
          <w:i/>
          <w:sz w:val="16"/>
        </w:rPr>
        <w:t>[4] Dataset: ADSL, ADEG. Program: t_ecg_chg_bl.sas.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14.3.4.9  Pulse Oximetry (SpO2) — Change from Baseline by Visit</w:t>
      </w:r>
      <w:r>
        <w:bookmarkStart w:id="0" w:name="T14.3.4.9"/>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Baseline</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n</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Mean (SD), %</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Week 4</w:t>
            </w:r>
          </w:p>
        </w:tc>
        <w:tc>
          <w:tcPr>
            <w:tcW w:type="dxa" w:w="2280"/>
          </w:tcPr>
          <w:p>
            <w:pPr>
              <w:spacing w:before="20" w:after="20" w:line="240" w:lineRule="exact"/>
              <w:jc w:val="center"/>
            </w:pPr>
            <w:r>
              <w:rPr>
                <w:rFonts w:ascii="Times New Roman" w:hAnsi="Times New Roman"/>
                <w:b w:val="0"/>
                <w:sz w:val="18"/>
              </w:rPr>
              <w:t>Mean Chg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End of Treatment</w:t>
            </w:r>
          </w:p>
        </w:tc>
        <w:tc>
          <w:tcPr>
            <w:tcW w:type="dxa" w:w="2280"/>
          </w:tcPr>
          <w:p>
            <w:pPr>
              <w:spacing w:before="20" w:after="20" w:line="240" w:lineRule="exact"/>
              <w:jc w:val="center"/>
            </w:pPr>
            <w:r>
              <w:rPr>
                <w:rFonts w:ascii="Times New Roman" w:hAnsi="Times New Roman"/>
                <w:b w:val="0"/>
                <w:sz w:val="18"/>
              </w:rPr>
              <w:t>Mean Chg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SpO2 &lt;92%</w:t>
            </w:r>
          </w:p>
        </w:tc>
        <w:tc>
          <w:tcPr>
            <w:tcW w:type="dxa" w:w="2280"/>
          </w:tcPr>
          <w:p>
            <w:pPr>
              <w:spacing w:before="120" w:after="20" w:line="240" w:lineRule="exact"/>
              <w:jc w:val="center"/>
            </w:pPr>
            <w:r>
              <w:rPr>
                <w:rFonts w:ascii="Times New Roman" w:hAnsi="Times New Roman"/>
                <w:b/>
                <w:sz w:val="18"/>
              </w:rPr>
              <w:t>n (%)</w:t>
            </w:r>
          </w:p>
        </w:tc>
        <w:tc>
          <w:tcPr>
            <w:tcW w:type="dxa" w:w="2280"/>
          </w:tcPr>
          <w:p>
            <w:pPr>
              <w:spacing w:before="120" w:after="20" w:line="240" w:lineRule="exact"/>
              <w:jc w:val="center"/>
            </w:pPr>
            <w:r>
              <w:rPr>
                <w:rFonts w:ascii="Times New Roman" w:hAnsi="Times New Roman"/>
                <w:b/>
                <w:sz w:val="18"/>
              </w:rPr>
              <w:t>xx (xx.x)</w:t>
            </w:r>
          </w:p>
        </w:tc>
        <w:tc>
          <w:tcPr>
            <w:tcW w:type="dxa" w:w="2280"/>
          </w:tcPr>
          <w:p>
            <w:pPr>
              <w:spacing w:before="120" w:after="20" w:line="240" w:lineRule="exact"/>
              <w:jc w:val="center"/>
            </w:pPr>
            <w:r>
              <w:rPr>
                <w:rFonts w:ascii="Times New Roman" w:hAnsi="Times New Roman"/>
                <w:b/>
                <w:sz w:val="18"/>
              </w:rPr>
              <w:t>xx (xx.x)</w:t>
            </w:r>
          </w:p>
        </w:tc>
        <w:tc>
          <w:tcPr>
            <w:tcW w:type="dxa" w:w="2280"/>
          </w:tcPr>
          <w:p>
            <w:pPr>
              <w:spacing w:before="120" w:after="20" w:line="240" w:lineRule="exact"/>
              <w:jc w:val="center"/>
            </w:pPr>
            <w:r>
              <w:rPr>
                <w:rFonts w:ascii="Times New Roman" w:hAnsi="Times New Roman"/>
                <w:b/>
                <w:sz w:val="18"/>
              </w:rPr>
              <w:t>...</w:t>
            </w:r>
          </w:p>
        </w:tc>
        <w:tc>
          <w:tcPr>
            <w:tcW w:type="dxa" w:w="2280"/>
          </w:tcPr>
          <w:p>
            <w:pPr>
              <w:spacing w:before="120" w:after="20" w:line="240" w:lineRule="exact"/>
              <w:jc w:val="center"/>
            </w:pPr>
            <w:r>
              <w:rPr>
                <w:rFonts w:ascii="Times New Roman" w:hAnsi="Times New Roman"/>
                <w:b/>
                <w:sz w:val="18"/>
              </w:rPr>
              <w:t>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Abbreviations: SpO2 = peripheral oxygen saturation.</w:t>
      </w:r>
    </w:p>
    <w:p>
      <w:pPr>
        <w:spacing w:before="0" w:after="0"/>
      </w:pPr>
      <w:r>
        <w:rPr>
          <w:rFonts w:ascii="Times New Roman" w:hAnsi="Times New Roman"/>
          <w:i/>
          <w:sz w:val="16"/>
        </w:rPr>
        <w:t>[3] Dataset: ADSL, ADVS. Program: t_spo2_chg.sas.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14.3.4.10  Respiratory Rate — Change from Baseline by Visit</w:t>
      </w:r>
      <w:r>
        <w:bookmarkStart w:id="0" w:name="T14.3.4.10"/>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 breaths/min</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Week 4</w:t>
            </w:r>
          </w:p>
        </w:tc>
        <w:tc>
          <w:tcPr>
            <w:tcW w:type="dxa" w:w="2280"/>
          </w:tcPr>
          <w:p>
            <w:pPr>
              <w:spacing w:before="20" w:after="20" w:line="240" w:lineRule="exact"/>
              <w:jc w:val="center"/>
            </w:pPr>
            <w:r>
              <w:rPr>
                <w:rFonts w:ascii="Times New Roman" w:hAnsi="Times New Roman"/>
                <w:b w:val="0"/>
                <w:sz w:val="18"/>
              </w:rPr>
              <w:t>Mean Chg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End of Treatment</w:t>
            </w:r>
          </w:p>
        </w:tc>
        <w:tc>
          <w:tcPr>
            <w:tcW w:type="dxa" w:w="2280"/>
          </w:tcPr>
          <w:p>
            <w:pPr>
              <w:spacing w:before="20" w:after="20" w:line="240" w:lineRule="exact"/>
              <w:jc w:val="center"/>
            </w:pPr>
            <w:r>
              <w:rPr>
                <w:rFonts w:ascii="Times New Roman" w:hAnsi="Times New Roman"/>
                <w:b w:val="0"/>
                <w:sz w:val="18"/>
              </w:rPr>
              <w:t>Mean Chg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RR &gt;20 breaths/min</w:t>
            </w:r>
          </w:p>
        </w:tc>
        <w:tc>
          <w:tcPr>
            <w:tcW w:type="dxa" w:w="2280"/>
          </w:tcPr>
          <w:p>
            <w:pPr>
              <w:spacing w:before="120" w:after="20" w:line="240" w:lineRule="exact"/>
              <w:jc w:val="center"/>
            </w:pPr>
            <w:r>
              <w:rPr>
                <w:rFonts w:ascii="Times New Roman" w:hAnsi="Times New Roman"/>
                <w:b/>
                <w:sz w:val="18"/>
              </w:rPr>
              <w:t>n (%)</w:t>
            </w:r>
          </w:p>
        </w:tc>
        <w:tc>
          <w:tcPr>
            <w:tcW w:type="dxa" w:w="2280"/>
          </w:tcPr>
          <w:p>
            <w:pPr>
              <w:spacing w:before="120" w:after="20" w:line="240" w:lineRule="exact"/>
              <w:jc w:val="center"/>
            </w:pPr>
            <w:r>
              <w:rPr>
                <w:rFonts w:ascii="Times New Roman" w:hAnsi="Times New Roman"/>
                <w:b/>
                <w:sz w:val="18"/>
              </w:rPr>
              <w:t>xx (xx.x)</w:t>
            </w:r>
          </w:p>
        </w:tc>
        <w:tc>
          <w:tcPr>
            <w:tcW w:type="dxa" w:w="2280"/>
          </w:tcPr>
          <w:p>
            <w:pPr>
              <w:spacing w:before="120" w:after="20" w:line="240" w:lineRule="exact"/>
              <w:jc w:val="center"/>
            </w:pPr>
            <w:r>
              <w:rPr>
                <w:rFonts w:ascii="Times New Roman" w:hAnsi="Times New Roman"/>
                <w:b/>
                <w:sz w:val="18"/>
              </w:rPr>
              <w:t>xx (xx.x)</w:t>
            </w:r>
          </w:p>
        </w:tc>
        <w:tc>
          <w:tcPr>
            <w:tcW w:type="dxa" w:w="2280"/>
          </w:tcPr>
          <w:p>
            <w:pPr>
              <w:spacing w:before="120" w:after="20" w:line="240" w:lineRule="exact"/>
              <w:jc w:val="center"/>
            </w:pPr>
            <w:r>
              <w:rPr>
                <w:rFonts w:ascii="Times New Roman" w:hAnsi="Times New Roman"/>
                <w:b/>
                <w:sz w:val="18"/>
              </w:rPr>
              <w:t>...</w:t>
            </w:r>
          </w:p>
        </w:tc>
        <w:tc>
          <w:tcPr>
            <w:tcW w:type="dxa" w:w="2280"/>
          </w:tcPr>
          <w:p>
            <w:pPr>
              <w:spacing w:before="120" w:after="20" w:line="240" w:lineRule="exact"/>
              <w:jc w:val="center"/>
            </w:pPr>
            <w:r>
              <w:rPr>
                <w:rFonts w:ascii="Times New Roman" w:hAnsi="Times New Roman"/>
                <w:b/>
                <w:sz w:val="18"/>
              </w:rPr>
              <w:t>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Abbreviations: RR = respiratory rate.</w:t>
      </w:r>
    </w:p>
    <w:p>
      <w:pPr>
        <w:spacing w:before="0" w:after="0"/>
      </w:pPr>
      <w:r>
        <w:rPr>
          <w:rFonts w:ascii="Times New Roman" w:hAnsi="Times New Roman"/>
          <w:i/>
          <w:sz w:val="16"/>
        </w:rPr>
        <w:t>[3] Dataset: ADSL, ADVS. Program: t_rr_chg.sas.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14.3.4.11  Body Temperature — Change from Baseline and Fever Incidence</w:t>
      </w:r>
      <w:r>
        <w:bookmarkStart w:id="0" w:name="T14.3.4.11"/>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Visit / Criterion</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Baseline</w:t>
            </w:r>
          </w:p>
        </w:tc>
        <w:tc>
          <w:tcPr>
            <w:tcW w:type="dxa" w:w="2280"/>
          </w:tcPr>
          <w:p>
            <w:pPr>
              <w:spacing w:before="20" w:after="20" w:line="240" w:lineRule="exact"/>
              <w:jc w:val="center"/>
            </w:pPr>
            <w:r>
              <w:rPr>
                <w:rFonts w:ascii="Times New Roman" w:hAnsi="Times New Roman"/>
                <w:b w:val="0"/>
                <w:sz w:val="18"/>
              </w:rPr>
              <w:t>Mean (SD), deg C</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End of Treatment</w:t>
            </w:r>
          </w:p>
        </w:tc>
        <w:tc>
          <w:tcPr>
            <w:tcW w:type="dxa" w:w="2280"/>
          </w:tcPr>
          <w:p>
            <w:pPr>
              <w:spacing w:before="20" w:after="20" w:line="240" w:lineRule="exact"/>
              <w:jc w:val="center"/>
            </w:pPr>
            <w:r>
              <w:rPr>
                <w:rFonts w:ascii="Times New Roman" w:hAnsi="Times New Roman"/>
                <w:b w:val="0"/>
                <w:sz w:val="18"/>
              </w:rPr>
              <w:t>Mean Chg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Fever (&gt;=38.0 deg C) at Any Visit</w:t>
            </w:r>
          </w:p>
        </w:tc>
        <w:tc>
          <w:tcPr>
            <w:tcW w:type="dxa" w:w="2280"/>
          </w:tcPr>
          <w:p>
            <w:pPr>
              <w:spacing w:before="120" w:after="20" w:line="240" w:lineRule="exact"/>
              <w:jc w:val="center"/>
            </w:pPr>
            <w:r>
              <w:rPr>
                <w:rFonts w:ascii="Times New Roman" w:hAnsi="Times New Roman"/>
                <w:b/>
                <w:sz w:val="18"/>
              </w:rPr>
              <w:t>n (%)</w:t>
            </w:r>
          </w:p>
        </w:tc>
        <w:tc>
          <w:tcPr>
            <w:tcW w:type="dxa" w:w="2280"/>
          </w:tcPr>
          <w:p>
            <w:pPr>
              <w:spacing w:before="120" w:after="20" w:line="240" w:lineRule="exact"/>
              <w:jc w:val="center"/>
            </w:pPr>
            <w:r>
              <w:rPr>
                <w:rFonts w:ascii="Times New Roman" w:hAnsi="Times New Roman"/>
                <w:b/>
                <w:sz w:val="18"/>
              </w:rPr>
              <w:t>xx (xx.x)</w:t>
            </w:r>
          </w:p>
        </w:tc>
        <w:tc>
          <w:tcPr>
            <w:tcW w:type="dxa" w:w="2280"/>
          </w:tcPr>
          <w:p>
            <w:pPr>
              <w:spacing w:before="120" w:after="20" w:line="240" w:lineRule="exact"/>
              <w:jc w:val="center"/>
            </w:pPr>
            <w:r>
              <w:rPr>
                <w:rFonts w:ascii="Times New Roman" w:hAnsi="Times New Roman"/>
                <w:b/>
                <w:sz w:val="18"/>
              </w:rPr>
              <w:t>xx (xx.x)</w:t>
            </w:r>
          </w:p>
        </w:tc>
        <w:tc>
          <w:tcPr>
            <w:tcW w:type="dxa" w:w="2280"/>
          </w:tcPr>
          <w:p>
            <w:pPr>
              <w:spacing w:before="120" w:after="20" w:line="240" w:lineRule="exact"/>
              <w:jc w:val="center"/>
            </w:pPr>
            <w:r>
              <w:rPr>
                <w:rFonts w:ascii="Times New Roman" w:hAnsi="Times New Roman"/>
                <w:b/>
                <w:sz w:val="18"/>
              </w:rPr>
              <w:t>...</w:t>
            </w:r>
          </w:p>
        </w:tc>
        <w:tc>
          <w:tcPr>
            <w:tcW w:type="dxa" w:w="2280"/>
          </w:tcPr>
          <w:p>
            <w:pPr>
              <w:spacing w:before="120" w:after="20" w:line="240" w:lineRule="exact"/>
              <w:jc w:val="center"/>
            </w:pPr>
            <w:r>
              <w:rPr>
                <w:rFonts w:ascii="Times New Roman" w:hAnsi="Times New Roman"/>
                <w:b/>
                <w:sz w:val="18"/>
              </w:rPr>
              <w:t>xx (xx.x)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Grade 1 (38.0-39.0 deg C)</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Grade &gt;=2 (&gt;39.0 deg C)</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Temperature measurement method per site SOP. CTCAE [xx].</w:t>
      </w:r>
    </w:p>
    <w:p>
      <w:pPr>
        <w:spacing w:before="0" w:after="0"/>
      </w:pPr>
      <w:r>
        <w:rPr>
          <w:rFonts w:ascii="Times New Roman" w:hAnsi="Times New Roman"/>
          <w:i/>
          <w:sz w:val="16"/>
        </w:rPr>
        <w:t>[3] Abbreviations: CTCAE = Common Terminology Criteria for Adverse Events.</w:t>
      </w:r>
    </w:p>
    <w:p>
      <w:pPr>
        <w:spacing w:before="0" w:after="0"/>
      </w:pPr>
      <w:r>
        <w:rPr>
          <w:rFonts w:ascii="Times New Roman" w:hAnsi="Times New Roman"/>
          <w:i/>
          <w:sz w:val="16"/>
        </w:rPr>
        <w:t>[4] Dataset: ADSL, ADVS. Program: t_temp_chg.sas.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14.3.4.12  Vital Signs — Categorical Outlier Summary (All Visits Pooled)</w:t>
      </w:r>
      <w:r>
        <w:bookmarkStart w:id="0" w:name="T14.3.4.12"/>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Parameter</w:t>
            </w:r>
          </w:p>
          <w:p>
            <w:pPr>
              <w:spacing w:before="0" w:after="0"/>
              <w:jc w:val="left"/>
            </w:pPr>
            <w:r>
              <w:rPr>
                <w:rFonts w:ascii="Times New Roman" w:hAnsi="Times New Roman"/>
                <w:b/>
                <w:sz w:val="18"/>
              </w:rPr>
              <w:t>Criterion</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736"/>
          </w:tcPr>
          <w:p>
            <w:pPr>
              <w:spacing w:before="20" w:after="20" w:line="240" w:lineRule="exact"/>
              <w:jc w:val="left"/>
            </w:pPr>
            <w:r>
              <w:rPr>
                <w:rFonts w:ascii="Times New Roman" w:hAnsi="Times New Roman"/>
                <w:b w:val="0"/>
                <w:sz w:val="18"/>
              </w:rPr>
              <w:t>SBP &gt;=160 mmHg</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SBP &lt;=90 mmHg (with &gt;=20 mmHg decrease)</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DBP &gt;=100 mmHg</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DBP &lt;=50 mmHg (with &gt;=15 mmHg decrease)</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HR &gt;=120 bpm</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HR &lt;=45 bpm</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SpO2 &lt;92%</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RR &gt;24 breaths/min</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N = subjects with &gt;=1 post-baseline assessment for each parameter.</w:t>
      </w:r>
    </w:p>
    <w:p>
      <w:pPr>
        <w:spacing w:before="0" w:after="0"/>
      </w:pPr>
      <w:r>
        <w:rPr>
          <w:rFonts w:ascii="Times New Roman" w:hAnsi="Times New Roman"/>
          <w:i/>
          <w:sz w:val="16"/>
        </w:rPr>
        <w:t>[3] Abbreviations: HR = hazard ratio; RR = respiratory rate; SBP = systolic blood pressure; DBP = diastolic blood pressure; SpO2 = peripheral oxygen saturation.</w:t>
      </w:r>
    </w:p>
    <w:p>
      <w:pPr>
        <w:spacing w:before="0" w:after="0"/>
      </w:pPr>
      <w:r>
        <w:rPr>
          <w:rFonts w:ascii="Times New Roman" w:hAnsi="Times New Roman"/>
          <w:i/>
          <w:sz w:val="16"/>
        </w:rPr>
        <w:t>[4] Statistical definitions: Percentages use subjects evaluable at the corresponding visit or cycle within each treatment group unless otherwise specified.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ADVS. Program: t_vs_outlier.sas.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14.3.4.13  Holter Monitoring Summary — Heart Rate and Arrhythmia Events (Phase 1)</w:t>
      </w:r>
      <w:r>
        <w:bookmarkStart w:id="0" w:name="T14.3.4.13"/>
        <w:bookmarkEnd w:id="0"/>
      </w:r>
    </w:p>
    <w:p>
      <w:pPr>
        <w:keepNext/>
        <w:spacing w:before="40" w:after="160"/>
      </w:pPr>
      <w:r>
        <w:rPr>
          <w:rFonts w:ascii="Times New Roman" w:hAnsi="Times New Roman"/>
          <w:i/>
          <w:sz w:val="18"/>
        </w:rPr>
        <w:t>Analysis Set: Safety Population (Subset with Holter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Parameter</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HR</w:t>
            </w:r>
          </w:p>
        </w:tc>
        <w:tc>
          <w:tcPr>
            <w:tcW w:type="dxa" w:w="2280"/>
          </w:tcPr>
          <w:p>
            <w:pPr>
              <w:spacing w:before="20" w:after="20" w:line="240" w:lineRule="exact"/>
              <w:jc w:val="center"/>
            </w:pPr>
            <w:r>
              <w:rPr>
                <w:rFonts w:ascii="Times New Roman" w:hAnsi="Times New Roman"/>
                <w:b w:val="0"/>
                <w:sz w:val="18"/>
              </w:rPr>
              <w:t>Mean (SD), bpm</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HR</w:t>
            </w:r>
          </w:p>
        </w:tc>
        <w:tc>
          <w:tcPr>
            <w:tcW w:type="dxa" w:w="2280"/>
          </w:tcPr>
          <w:p>
            <w:pPr>
              <w:spacing w:before="20" w:after="20" w:line="240" w:lineRule="exact"/>
              <w:jc w:val="center"/>
            </w:pPr>
            <w:r>
              <w:rPr>
                <w:rFonts w:ascii="Times New Roman" w:hAnsi="Times New Roman"/>
                <w:b w:val="0"/>
                <w:sz w:val="18"/>
              </w:rPr>
              <w:t>Minimum, bpm</w:t>
            </w:r>
          </w:p>
        </w:tc>
        <w:tc>
          <w:tcPr>
            <w:tcW w:type="dxa" w:w="2280"/>
          </w:tcPr>
          <w:p>
            <w:pPr>
              <w:spacing w:before="20" w:after="20" w:line="240" w:lineRule="exact"/>
              <w:jc w:val="center"/>
            </w:pPr>
            <w:r>
              <w:rPr>
                <w:rFonts w:ascii="Times New Roman" w:hAnsi="Times New Roman"/>
                <w:b w:val="0"/>
                <w:sz w:val="18"/>
              </w:rPr>
              <w:t>xx</w:t>
            </w:r>
          </w:p>
        </w:tc>
        <w:tc>
          <w:tcPr>
            <w:tcW w:type="dxa" w:w="2280"/>
          </w:tcPr>
          <w:p>
            <w:pPr>
              <w:spacing w:before="20" w:after="20" w:line="240" w:lineRule="exact"/>
              <w:jc w:val="center"/>
            </w:pPr>
            <w:r>
              <w:rPr>
                <w:rFonts w:ascii="Times New Roman" w:hAnsi="Times New Roman"/>
                <w:b w:val="0"/>
                <w:sz w:val="18"/>
              </w:rPr>
              <w:t>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w:t>
            </w:r>
          </w:p>
        </w:tc>
      </w:tr>
      <w:tr>
        <w:tc>
          <w:tcPr>
            <w:tcW w:type="dxa" w:w="2280"/>
          </w:tcPr>
          <w:p>
            <w:pPr>
              <w:spacing w:before="20" w:after="20" w:line="240" w:lineRule="exact"/>
              <w:jc w:val="left"/>
            </w:pPr>
            <w:r>
              <w:rPr>
                <w:rFonts w:ascii="Times New Roman" w:hAnsi="Times New Roman"/>
                <w:b w:val="0"/>
                <w:sz w:val="18"/>
              </w:rPr>
              <w:t>HR</w:t>
            </w:r>
          </w:p>
        </w:tc>
        <w:tc>
          <w:tcPr>
            <w:tcW w:type="dxa" w:w="2280"/>
          </w:tcPr>
          <w:p>
            <w:pPr>
              <w:spacing w:before="20" w:after="20" w:line="240" w:lineRule="exact"/>
              <w:jc w:val="center"/>
            </w:pPr>
            <w:r>
              <w:rPr>
                <w:rFonts w:ascii="Times New Roman" w:hAnsi="Times New Roman"/>
                <w:b w:val="0"/>
                <w:sz w:val="18"/>
              </w:rPr>
              <w:t>Maximum, bpm</w:t>
            </w:r>
          </w:p>
        </w:tc>
        <w:tc>
          <w:tcPr>
            <w:tcW w:type="dxa" w:w="2280"/>
          </w:tcPr>
          <w:p>
            <w:pPr>
              <w:spacing w:before="20" w:after="20" w:line="240" w:lineRule="exact"/>
              <w:jc w:val="center"/>
            </w:pPr>
            <w:r>
              <w:rPr>
                <w:rFonts w:ascii="Times New Roman" w:hAnsi="Times New Roman"/>
                <w:b w:val="0"/>
                <w:sz w:val="18"/>
              </w:rPr>
              <w:t>xx</w:t>
            </w:r>
          </w:p>
        </w:tc>
        <w:tc>
          <w:tcPr>
            <w:tcW w:type="dxa" w:w="2280"/>
          </w:tcPr>
          <w:p>
            <w:pPr>
              <w:spacing w:before="20" w:after="20" w:line="240" w:lineRule="exact"/>
              <w:jc w:val="center"/>
            </w:pPr>
            <w:r>
              <w:rPr>
                <w:rFonts w:ascii="Times New Roman" w:hAnsi="Times New Roman"/>
                <w:b w:val="0"/>
                <w:sz w:val="18"/>
              </w:rPr>
              <w:t>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w:t>
            </w:r>
          </w:p>
        </w:tc>
      </w:tr>
      <w:tr>
        <w:tc>
          <w:tcPr>
            <w:tcW w:type="dxa" w:w="2280"/>
          </w:tcPr>
          <w:p>
            <w:pPr>
              <w:spacing w:before="20" w:after="20" w:line="240" w:lineRule="exact"/>
              <w:jc w:val="left"/>
            </w:pPr>
            <w:r>
              <w:rPr>
                <w:rFonts w:ascii="Times New Roman" w:hAnsi="Times New Roman"/>
                <w:b w:val="0"/>
                <w:sz w:val="18"/>
              </w:rPr>
              <w:t>Ventricular Ectopics</w:t>
            </w:r>
          </w:p>
        </w:tc>
        <w:tc>
          <w:tcPr>
            <w:tcW w:type="dxa" w:w="2280"/>
          </w:tcPr>
          <w:p>
            <w:pPr>
              <w:spacing w:before="20" w:after="20" w:line="240" w:lineRule="exact"/>
              <w:jc w:val="center"/>
            </w:pPr>
            <w:r>
              <w:rPr>
                <w:rFonts w:ascii="Times New Roman" w:hAnsi="Times New Roman"/>
                <w:b w:val="0"/>
                <w:sz w:val="18"/>
              </w:rPr>
              <w:t>Total per 24h, Median (Range)</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Supraventricular Ectopics</w:t>
            </w:r>
          </w:p>
        </w:tc>
        <w:tc>
          <w:tcPr>
            <w:tcW w:type="dxa" w:w="2280"/>
          </w:tcPr>
          <w:p>
            <w:pPr>
              <w:spacing w:before="20" w:after="20" w:line="240" w:lineRule="exact"/>
              <w:jc w:val="center"/>
            </w:pPr>
            <w:r>
              <w:rPr>
                <w:rFonts w:ascii="Times New Roman" w:hAnsi="Times New Roman"/>
                <w:b w:val="0"/>
                <w:sz w:val="18"/>
              </w:rPr>
              <w:t>Total per 24h, Median (Range)</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Ventricular Tachycardia (&gt;=3 beats)</w:t>
            </w:r>
          </w:p>
        </w:tc>
        <w:tc>
          <w:tcPr>
            <w:tcW w:type="dxa" w:w="2280"/>
          </w:tcPr>
          <w:p>
            <w:pPr>
              <w:spacing w:before="20" w:after="20" w:line="240" w:lineRule="exact"/>
              <w:jc w:val="center"/>
            </w:pPr>
            <w:r>
              <w:rPr>
                <w:rFonts w:ascii="Times New Roman" w:hAnsi="Times New Roman"/>
                <w:b w:val="0"/>
                <w:sz w:val="18"/>
              </w:rPr>
              <w:t>n (%)</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L16.2.9</w:t>
      </w:r>
    </w:p>
    <w:p>
      <w:pPr>
        <w:spacing w:before="0" w:after="0"/>
      </w:pPr>
      <w:r>
        <w:rPr>
          <w:rFonts w:ascii="Times New Roman" w:hAnsi="Times New Roman"/>
          <w:i/>
          <w:sz w:val="16"/>
        </w:rPr>
        <w:t>[2] 24-hour Holter monitoring at Baseline and post-dose timepoints (Phase 1 only).</w:t>
      </w:r>
    </w:p>
    <w:p>
      <w:pPr>
        <w:spacing w:before="0" w:after="0"/>
      </w:pPr>
      <w:r>
        <w:rPr>
          <w:rFonts w:ascii="Times New Roman" w:hAnsi="Times New Roman"/>
          <w:i/>
          <w:sz w:val="16"/>
        </w:rPr>
        <w:t>[3] Abbreviations: HR = hazard ratio.</w:t>
      </w:r>
    </w:p>
    <w:p>
      <w:pPr>
        <w:spacing w:before="0" w:after="0"/>
      </w:pPr>
      <w:r>
        <w:rPr>
          <w:rFonts w:ascii="Times New Roman" w:hAnsi="Times New Roman"/>
          <w:i/>
          <w:sz w:val="16"/>
        </w:rPr>
        <w:t>[4] Statistical definitions: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ADEG. Program: t_holter.sas.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14.3.4.14  ECG — T-Wave and ST-Segment Morphology Findings by Visit</w:t>
      </w:r>
      <w:r>
        <w:bookmarkStart w:id="0" w:name="T14.3.4.14"/>
        <w:bookmarkEnd w:id="0"/>
      </w:r>
    </w:p>
    <w:p>
      <w:pPr>
        <w:keepNext/>
        <w:spacing w:before="40" w:after="160"/>
      </w:pPr>
      <w:r>
        <w:rPr>
          <w:rFonts w:ascii="Times New Roman" w:hAnsi="Times New Roman"/>
          <w:i/>
          <w:sz w:val="18"/>
        </w:rPr>
        <w:t>Analysis Set: Safety Population with ECG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Visit</w:t>
            </w:r>
          </w:p>
          <w:p>
            <w:pPr>
              <w:spacing w:before="0" w:after="0"/>
              <w:jc w:val="left"/>
            </w:pPr>
            <w:r>
              <w:rPr>
                <w:rFonts w:ascii="Times New Roman" w:hAnsi="Times New Roman"/>
                <w:b/>
                <w:sz w:val="18"/>
              </w:rPr>
              <w:t>Finding</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736"/>
          </w:tcPr>
          <w:p>
            <w:pPr>
              <w:spacing w:before="120" w:after="20" w:line="240" w:lineRule="exact"/>
              <w:jc w:val="left"/>
            </w:pPr>
            <w:r>
              <w:rPr>
                <w:rFonts w:ascii="Times New Roman" w:hAnsi="Times New Roman"/>
                <w:b/>
                <w:sz w:val="18"/>
              </w:rPr>
              <w:t>Baseline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Normal</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T-wave abnormality</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ST-segment abnormality</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Worst Post-Baseline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Normal</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New T-wave abnormality</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New ST-segment abnormality</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L16.2.9</w:t>
      </w:r>
    </w:p>
    <w:p>
      <w:pPr>
        <w:spacing w:before="0" w:after="0"/>
      </w:pPr>
      <w:r>
        <w:rPr>
          <w:rFonts w:ascii="Times New Roman" w:hAnsi="Times New Roman"/>
          <w:i/>
          <w:sz w:val="16"/>
        </w:rPr>
        <w:t>[2] Morphology findings per central cardiologist over-read. N = subjects with ECG at that timepoint.</w:t>
      </w:r>
    </w:p>
    <w:p>
      <w:pPr>
        <w:spacing w:before="0" w:after="0"/>
      </w:pPr>
      <w:r>
        <w:rPr>
          <w:rFonts w:ascii="Times New Roman" w:hAnsi="Times New Roman"/>
          <w:i/>
          <w:sz w:val="16"/>
        </w:rPr>
        <w:t>[3] Abbreviations: ECG = electrocardiogram.</w:t>
      </w:r>
    </w:p>
    <w:p>
      <w:pPr>
        <w:spacing w:before="0" w:after="0"/>
      </w:pPr>
      <w:r>
        <w:rPr>
          <w:rFonts w:ascii="Times New Roman" w:hAnsi="Times New Roman"/>
          <w:i/>
          <w:sz w:val="16"/>
        </w:rPr>
        <w:t>[4] Statistical definitions: Percentages use subjects evaluable at the corresponding visit or cycle within each treatment group unless otherwise specified.</w:t>
      </w:r>
    </w:p>
    <w:p>
      <w:pPr>
        <w:spacing w:before="0" w:after="0"/>
      </w:pPr>
      <w:r>
        <w:rPr>
          <w:rFonts w:ascii="Times New Roman" w:hAnsi="Times New Roman"/>
          <w:i/>
          <w:sz w:val="16"/>
        </w:rPr>
        <w:t>[5] Dataset: ADSL, ADEG. Program: t_ecg_morph.sas.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14.3.4.15  Physical Examination — Abnormal Findings by Body System at Baseline and EOT</w:t>
      </w:r>
      <w:r>
        <w:bookmarkStart w:id="0" w:name="T14.3.4.15"/>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4560"/>
        <w:gridCol w:w="4560"/>
        <w:gridCol w:w="4560"/>
      </w:tblGrid>
      <w:tr>
        <w:trPr>
          <w:tblHeader w:val="true"/>
        </w:trPr>
        <w:tc>
          <w:tcPr>
            <w:tcW w:type="dxa" w:w="4560"/>
            <w:shd w:fill="F2F2F2" w:val="clear"/>
            <w:tcBorders>
              <w:bottom w:val="single" w:sz="4" w:space="0" w:color="000000"/>
            </w:tcBorders>
          </w:tcPr>
          <w:p>
            <w:pPr>
              <w:spacing w:before="0" w:after="0"/>
              <w:jc w:val="left"/>
            </w:pPr>
            <w:r>
              <w:rPr>
                <w:rFonts w:ascii="Times New Roman" w:hAnsi="Times New Roman"/>
                <w:b/>
                <w:sz w:val="18"/>
              </w:rPr>
              <w:t>Body System</w:t>
            </w:r>
          </w:p>
          <w:p>
            <w:pPr>
              <w:spacing w:before="0" w:after="0"/>
              <w:jc w:val="left"/>
            </w:pPr>
            <w:r>
              <w:rPr>
                <w:rFonts w:ascii="Times New Roman" w:hAnsi="Times New Roman"/>
                <w:b/>
                <w:sz w:val="18"/>
              </w:rPr>
              <w:t>Finding</w:t>
            </w:r>
          </w:p>
        </w:tc>
        <w:tc>
          <w:tcPr>
            <w:tcW w:type="dxa" w:w="4560"/>
            <w:shd w:fill="F2F2F2" w:val="clear"/>
            <w:tcBorders>
              <w:bottom w:val="single" w:sz="4" w:space="0" w:color="000000"/>
            </w:tcBorders>
          </w:tcPr>
          <w:p>
            <w:pPr>
              <w:spacing w:before="0" w:after="0"/>
              <w:jc w:val="center"/>
            </w:pPr>
            <w:r>
              <w:rPr>
                <w:rFonts w:ascii="Times New Roman" w:hAnsi="Times New Roman"/>
                <w:b/>
                <w:sz w:val="18"/>
              </w:rPr>
              <w:t>Baseline</w:t>
            </w:r>
          </w:p>
          <w:p>
            <w:pPr>
              <w:spacing w:before="0" w:after="0"/>
              <w:jc w:val="center"/>
            </w:pPr>
            <w:r>
              <w:rPr>
                <w:rFonts w:ascii="Times New Roman" w:hAnsi="Times New Roman"/>
                <w:b/>
                <w:sz w:val="18"/>
              </w:rPr>
              <w:t>n (%)</w:t>
            </w:r>
          </w:p>
        </w:tc>
        <w:tc>
          <w:tcPr>
            <w:tcW w:type="dxa" w:w="4560"/>
            <w:shd w:fill="F2F2F2" w:val="clear"/>
            <w:tcBorders>
              <w:bottom w:val="single" w:sz="4" w:space="0" w:color="000000"/>
            </w:tcBorders>
          </w:tcPr>
          <w:p>
            <w:pPr>
              <w:spacing w:before="0" w:after="0"/>
              <w:jc w:val="center"/>
            </w:pPr>
            <w:r>
              <w:rPr>
                <w:rFonts w:ascii="Times New Roman" w:hAnsi="Times New Roman"/>
                <w:b/>
                <w:sz w:val="18"/>
              </w:rPr>
              <w:t>End of Treatment</w:t>
            </w:r>
          </w:p>
          <w:p>
            <w:pPr>
              <w:spacing w:before="0" w:after="0"/>
              <w:jc w:val="center"/>
            </w:pPr>
            <w:r>
              <w:rPr>
                <w:rFonts w:ascii="Times New Roman" w:hAnsi="Times New Roman"/>
                <w:b/>
                <w:sz w:val="18"/>
              </w:rPr>
              <w:t>n (%)</w:t>
            </w:r>
          </w:p>
        </w:tc>
      </w:tr>
      <w:tr>
        <w:tc>
          <w:tcPr>
            <w:tcW w:type="dxa" w:w="4560"/>
          </w:tcPr>
          <w:p>
            <w:pPr>
              <w:spacing w:before="120" w:after="20" w:line="240" w:lineRule="exact"/>
              <w:jc w:val="left"/>
            </w:pPr>
            <w:r>
              <w:rPr>
                <w:rFonts w:ascii="Times New Roman" w:hAnsi="Times New Roman"/>
                <w:b/>
                <w:sz w:val="18"/>
              </w:rPr>
              <w:t>General Appearance</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120" w:after="20" w:line="240" w:lineRule="exact"/>
              <w:jc w:val="left"/>
            </w:pPr>
            <w:r>
              <w:rPr>
                <w:rFonts w:ascii="Times New Roman" w:hAnsi="Times New Roman"/>
                <w:b/>
                <w:sz w:val="18"/>
              </w:rPr>
              <w:t>Head/Eyes/Ears/Nose/Throat</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120" w:after="20" w:line="240" w:lineRule="exact"/>
              <w:jc w:val="left"/>
            </w:pPr>
            <w:r>
              <w:rPr>
                <w:rFonts w:ascii="Times New Roman" w:hAnsi="Times New Roman"/>
                <w:b/>
                <w:sz w:val="18"/>
              </w:rPr>
              <w:t>Cardiovascular</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120" w:after="20" w:line="240" w:lineRule="exact"/>
              <w:jc w:val="left"/>
            </w:pPr>
            <w:r>
              <w:rPr>
                <w:rFonts w:ascii="Times New Roman" w:hAnsi="Times New Roman"/>
                <w:b/>
                <w:sz w:val="18"/>
              </w:rPr>
              <w:t>Respiratory</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120" w:after="20" w:line="240" w:lineRule="exact"/>
              <w:jc w:val="left"/>
            </w:pPr>
            <w:r>
              <w:rPr>
                <w:rFonts w:ascii="Times New Roman" w:hAnsi="Times New Roman"/>
                <w:b/>
                <w:sz w:val="18"/>
              </w:rPr>
              <w:t>Abdomen</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120" w:after="20" w:line="240" w:lineRule="exact"/>
              <w:jc w:val="left"/>
            </w:pPr>
            <w:r>
              <w:rPr>
                <w:rFonts w:ascii="Times New Roman" w:hAnsi="Times New Roman"/>
                <w:b/>
                <w:sz w:val="18"/>
              </w:rPr>
              <w:t>Musculoskeletal</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120" w:after="20" w:line="240" w:lineRule="exact"/>
              <w:jc w:val="left"/>
            </w:pPr>
            <w:r>
              <w:rPr>
                <w:rFonts w:ascii="Times New Roman" w:hAnsi="Times New Roman"/>
                <w:b/>
                <w:sz w:val="18"/>
              </w:rPr>
              <w:t>Neurological</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120" w:after="20" w:line="240" w:lineRule="exact"/>
              <w:jc w:val="left"/>
            </w:pPr>
            <w:r>
              <w:rPr>
                <w:rFonts w:ascii="Times New Roman" w:hAnsi="Times New Roman"/>
                <w:b/>
                <w:sz w:val="18"/>
              </w:rPr>
              <w:t>Dermatological</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120" w:after="20" w:line="240" w:lineRule="exact"/>
              <w:jc w:val="left"/>
            </w:pPr>
            <w:r>
              <w:rPr>
                <w:rFonts w:ascii="Times New Roman" w:hAnsi="Times New Roman"/>
                <w:b/>
                <w:sz w:val="18"/>
              </w:rPr>
              <w:t>Lymph Nodes</w:t>
            </w:r>
          </w:p>
        </w:tc>
        <w:tc>
          <w:tcPr>
            <w:tcW w:type="dxa" w:w="4560"/>
          </w:tcPr>
          <w:p>
            <w:pPr>
              <w:spacing w:before="120" w:after="20" w:line="240" w:lineRule="exact"/>
              <w:jc w:val="center"/>
            </w:pPr>
            <w:r>
              <w:rPr>
                <w:rFonts w:ascii="Times New Roman" w:hAnsi="Times New Roman"/>
                <w:b/>
                <w:sz w:val="18"/>
              </w:rPr>
              <w:t>xx (xx.x)</w:t>
            </w:r>
          </w:p>
        </w:tc>
        <w:tc>
          <w:tcPr>
            <w:tcW w:type="dxa" w:w="4560"/>
          </w:tcPr>
          <w:p>
            <w:pPr>
              <w:spacing w:before="120" w:after="20" w:line="240" w:lineRule="exact"/>
              <w:jc w:val="center"/>
            </w:pPr>
            <w:r>
              <w:rPr>
                <w:rFonts w:ascii="Times New Roman" w:hAnsi="Times New Roman"/>
                <w:b/>
                <w:sz w:val="18"/>
              </w:rPr>
              <w:t>xx (xx.x)</w:t>
            </w:r>
          </w:p>
        </w:tc>
      </w:tr>
      <w:tr>
        <w:tc>
          <w:tcPr>
            <w:tcW w:type="dxa" w:w="4560"/>
          </w:tcPr>
          <w:p>
            <w:pPr>
              <w:spacing w:before="20" w:after="20" w:line="240" w:lineRule="exact"/>
              <w:jc w:val="left"/>
            </w:pPr>
            <w:r>
              <w:rPr>
                <w:rFonts w:ascii="Times New Roman" w:hAnsi="Times New Roman"/>
                <w:b w:val="0"/>
                <w:sz w:val="18"/>
              </w:rPr>
              <w:t>[...]</w:t>
            </w:r>
          </w:p>
        </w:tc>
        <w:tc>
          <w:tcPr>
            <w:tcW w:type="dxa" w:w="4560"/>
          </w:tcPr>
          <w:p>
            <w:pPr>
              <w:spacing w:before="20" w:after="20" w:line="240" w:lineRule="exact"/>
              <w:jc w:val="center"/>
            </w:pPr>
            <w:r>
              <w:rPr>
                <w:rFonts w:ascii="Times New Roman" w:hAnsi="Times New Roman"/>
                <w:b w:val="0"/>
                <w:sz w:val="18"/>
              </w:rPr>
              <w:t>...</w:t>
            </w:r>
          </w:p>
        </w:tc>
        <w:tc>
          <w:tcPr>
            <w:tcW w:type="dxa" w:w="456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L16.2.24</w:t>
      </w:r>
    </w:p>
    <w:p>
      <w:pPr>
        <w:spacing w:before="0" w:after="0"/>
      </w:pPr>
      <w:r>
        <w:rPr>
          <w:rFonts w:ascii="Times New Roman" w:hAnsi="Times New Roman"/>
          <w:i/>
          <w:sz w:val="16"/>
        </w:rPr>
        <w:t>[2] Physical examination per protocol schedule. Listing: L16.2.24.</w:t>
      </w:r>
    </w:p>
    <w:p>
      <w:pPr>
        <w:spacing w:before="0" w:after="0"/>
      </w:pPr>
      <w:r>
        <w:rPr>
          <w:rFonts w:ascii="Times New Roman" w:hAnsi="Times New Roman"/>
          <w:i/>
          <w:sz w:val="16"/>
        </w:rPr>
        <w:t>[3] Abbreviations: EOT = end of treatment.</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ADPE. Program: t_pe_findings.sas.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14.3.4.16  Physical Examination — New or Worsened Findings from Baseline by Body System</w:t>
      </w:r>
      <w:r>
        <w:bookmarkStart w:id="0" w:name="T14.3.4.16"/>
        <w:bookmarkEnd w:id="0"/>
      </w:r>
    </w:p>
    <w:p>
      <w:pPr>
        <w:keepNext/>
        <w:spacing w:before="40" w:after="160"/>
      </w:pPr>
      <w:r>
        <w:rPr>
          <w:rFonts w:ascii="Times New Roman" w:hAnsi="Times New Roman"/>
          <w:i/>
          <w:sz w:val="18"/>
        </w:rPr>
        <w:t>Analysis Set: Safety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Body System</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736"/>
          </w:tcPr>
          <w:p>
            <w:pPr>
              <w:spacing w:before="120" w:after="20" w:line="240" w:lineRule="exact"/>
              <w:jc w:val="left"/>
            </w:pPr>
            <w:r>
              <w:rPr>
                <w:rFonts w:ascii="Times New Roman" w:hAnsi="Times New Roman"/>
                <w:b/>
                <w:sz w:val="18"/>
              </w:rPr>
              <w:t>Any New or Worsened Finding</w:t>
            </w:r>
          </w:p>
        </w:tc>
        <w:tc>
          <w:tcPr>
            <w:tcW w:type="dxa" w:w="2736"/>
          </w:tcPr>
          <w:p>
            <w:pPr>
              <w:spacing w:before="120" w:after="20" w:line="240" w:lineRule="exact"/>
              <w:jc w:val="center"/>
            </w:pPr>
            <w:r>
              <w:rPr>
                <w:rFonts w:ascii="Times New Roman" w:hAnsi="Times New Roman"/>
                <w:b/>
                <w:sz w:val="18"/>
              </w:rPr>
              <w:t>xx/xx (xx.x)</w:t>
            </w:r>
          </w:p>
        </w:tc>
        <w:tc>
          <w:tcPr>
            <w:tcW w:type="dxa" w:w="2736"/>
          </w:tcPr>
          <w:p>
            <w:pPr>
              <w:spacing w:before="120" w:after="20" w:line="240" w:lineRule="exact"/>
              <w:jc w:val="center"/>
            </w:pPr>
            <w:r>
              <w:rPr>
                <w:rFonts w:ascii="Times New Roman" w:hAnsi="Times New Roman"/>
                <w:b/>
                <w:sz w:val="18"/>
              </w:rPr>
              <w:t>xx/xx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xx/xx (xx.x)</w:t>
            </w:r>
          </w:p>
        </w:tc>
      </w:tr>
      <w:tr>
        <w:tc>
          <w:tcPr>
            <w:tcW w:type="dxa" w:w="2736"/>
          </w:tcPr>
          <w:p>
            <w:pPr>
              <w:spacing w:before="20" w:after="20" w:line="240" w:lineRule="exact"/>
              <w:jc w:val="left"/>
            </w:pPr>
            <w:r>
              <w:rPr>
                <w:rFonts w:ascii="Times New Roman" w:hAnsi="Times New Roman"/>
                <w:b w:val="0"/>
                <w:sz w:val="18"/>
              </w:rPr>
              <w:t>Cardiovascular</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Respiratory</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Abdomen</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Neurological</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Dermatological</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xx/xx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L16.2.24</w:t>
      </w:r>
    </w:p>
    <w:p>
      <w:pPr>
        <w:spacing w:before="0" w:after="0"/>
      </w:pPr>
      <w:r>
        <w:rPr>
          <w:rFonts w:ascii="Times New Roman" w:hAnsi="Times New Roman"/>
          <w:i/>
          <w:sz w:val="16"/>
        </w:rPr>
        <w:t>[2] New = not present at Baseline. Worsened = increased severity from Baseline. N = subjects with both BL and &gt;=1 post-BL exam.</w:t>
      </w:r>
    </w:p>
    <w:p>
      <w:pPr>
        <w:spacing w:before="0" w:after="0"/>
      </w:pPr>
      <w:r>
        <w:rPr>
          <w:rFonts w:ascii="Times New Roman" w:hAnsi="Times New Roman"/>
          <w:i/>
          <w:sz w:val="16"/>
        </w:rPr>
        <w:t>[3] Abbreviations: BL = baseline.</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ADPE. Program: t_pe_new_worse.sas.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14.3.4.17  Dose-Limiting Toxicities by Dose Level and Cycle 1 Evaluation Window</w:t>
      </w:r>
      <w:r>
        <w:bookmarkStart w:id="0" w:name="T14.3.4.17"/>
        <w:bookmarkEnd w:id="0"/>
      </w:r>
    </w:p>
    <w:p>
      <w:pPr>
        <w:keepNext/>
        <w:spacing w:before="40" w:after="160"/>
      </w:pPr>
      <w:r>
        <w:rPr>
          <w:rFonts w:ascii="Times New Roman" w:hAnsi="Times New Roman"/>
          <w:i/>
          <w:sz w:val="18"/>
        </w:rPr>
        <w:t>Analysis Set: DLT-Evaluable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Dose Level /</w:t>
            </w:r>
          </w:p>
          <w:p>
            <w:pPr>
              <w:spacing w:before="0" w:after="0"/>
              <w:jc w:val="left"/>
            </w:pPr>
            <w:r>
              <w:rPr>
                <w:rFonts w:ascii="Times New Roman" w:hAnsi="Times New Roman"/>
                <w:b/>
                <w:sz w:val="18"/>
              </w:rPr>
              <w:t>Cohort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Subjects Treated</w:t>
            </w:r>
          </w:p>
          <w:p>
            <w:pPr>
              <w:spacing w:before="0" w:after="0"/>
              <w:jc w:val="center"/>
            </w:pPr>
            <w:r>
              <w:rPr>
                <w:rFonts w:ascii="Times New Roman" w:hAnsi="Times New Roman"/>
                <w:b/>
                <w:sz w:val="18"/>
              </w:rPr>
              <w:t>(N)</w:t>
            </w:r>
          </w:p>
        </w:tc>
        <w:tc>
          <w:tcPr>
            <w:tcW w:type="dxa" w:w="2736"/>
            <w:shd w:fill="F2F2F2" w:val="clear"/>
            <w:tcBorders>
              <w:bottom w:val="single" w:sz="4" w:space="0" w:color="000000"/>
            </w:tcBorders>
          </w:tcPr>
          <w:p>
            <w:pPr>
              <w:spacing w:before="0" w:after="0"/>
              <w:jc w:val="center"/>
            </w:pPr>
            <w:r>
              <w:rPr>
                <w:rFonts w:ascii="Times New Roman" w:hAnsi="Times New Roman"/>
                <w:b/>
                <w:sz w:val="18"/>
              </w:rPr>
              <w:t>Subjects DLT-Evaluable</w:t>
            </w:r>
          </w:p>
          <w:p>
            <w:pPr>
              <w:spacing w:before="0" w:after="0"/>
              <w:jc w:val="center"/>
            </w:pPr>
            <w:r>
              <w:rPr>
                <w:rFonts w:ascii="Times New Roman" w:hAnsi="Times New Roman"/>
                <w:b/>
                <w:sz w:val="18"/>
              </w:rPr>
              <w:t>(n)</w:t>
            </w:r>
          </w:p>
        </w:tc>
        <w:tc>
          <w:tcPr>
            <w:tcW w:type="dxa" w:w="2736"/>
            <w:shd w:fill="F2F2F2" w:val="clear"/>
            <w:tcBorders>
              <w:bottom w:val="single" w:sz="4" w:space="0" w:color="000000"/>
            </w:tcBorders>
          </w:tcPr>
          <w:p>
            <w:pPr>
              <w:spacing w:before="0" w:after="0"/>
              <w:jc w:val="center"/>
            </w:pPr>
            <w:r>
              <w:rPr>
                <w:rFonts w:ascii="Times New Roman" w:hAnsi="Times New Roman"/>
                <w:b/>
                <w:sz w:val="18"/>
              </w:rPr>
              <w:t>Subjects with DLT</w:t>
            </w:r>
          </w:p>
          <w:p>
            <w:pPr>
              <w:spacing w:before="0" w:after="0"/>
              <w:jc w:val="center"/>
            </w:pPr>
            <w:r>
              <w:rPr>
                <w:rFonts w:ascii="Times New Roman" w:hAnsi="Times New Roman"/>
                <w:b/>
                <w:sz w:val="18"/>
              </w:rPr>
              <w:t>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DLT Terms /</w:t>
            </w:r>
          </w:p>
          <w:p>
            <w:pPr>
              <w:spacing w:before="0" w:after="0"/>
              <w:jc w:val="center"/>
            </w:pPr>
            <w:r>
              <w:rPr>
                <w:rFonts w:ascii="Times New Roman" w:hAnsi="Times New Roman"/>
                <w:b/>
                <w:sz w:val="18"/>
              </w:rPr>
              <w:t>Maximum Grade</w:t>
            </w:r>
          </w:p>
        </w:tc>
      </w:tr>
      <w:tr>
        <w:tc>
          <w:tcPr>
            <w:tcW w:type="dxa" w:w="2736"/>
          </w:tcPr>
          <w:p>
            <w:pPr>
              <w:spacing w:before="20" w:after="20" w:line="240" w:lineRule="exact"/>
              <w:jc w:val="left"/>
            </w:pPr>
            <w:r>
              <w:rPr>
                <w:rFonts w:ascii="Times New Roman" w:hAnsi="Times New Roman"/>
                <w:b w:val="0"/>
                <w:sz w:val="18"/>
              </w:rPr>
              <w:t>Dose Level 1</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DLT term x / Gr x</w:t>
            </w:r>
          </w:p>
        </w:tc>
      </w:tr>
      <w:tr>
        <w:tc>
          <w:tcPr>
            <w:tcW w:type="dxa" w:w="2736"/>
          </w:tcPr>
          <w:p>
            <w:pPr>
              <w:spacing w:before="20" w:after="20" w:line="240" w:lineRule="exact"/>
              <w:jc w:val="left"/>
            </w:pPr>
            <w:r>
              <w:rPr>
                <w:rFonts w:ascii="Times New Roman" w:hAnsi="Times New Roman"/>
                <w:b w:val="0"/>
                <w:sz w:val="18"/>
              </w:rPr>
              <w:t>Dose Level 2</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DLT term x / Gr x</w:t>
            </w:r>
          </w:p>
        </w:tc>
      </w:tr>
      <w:tr>
        <w:tc>
          <w:tcPr>
            <w:tcW w:type="dxa" w:w="2736"/>
          </w:tcPr>
          <w:p>
            <w:pPr>
              <w:spacing w:before="20" w:after="20" w:line="240" w:lineRule="exact"/>
              <w:jc w:val="left"/>
            </w:pPr>
            <w:r>
              <w:rPr>
                <w:rFonts w:ascii="Times New Roman" w:hAnsi="Times New Roman"/>
                <w:b w:val="0"/>
                <w:sz w:val="18"/>
              </w:rPr>
              <w:t>Dose Level 3</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DLT term x / Gr x</w:t>
            </w:r>
          </w:p>
        </w:tc>
      </w:tr>
      <w:tr>
        <w:tc>
          <w:tcPr>
            <w:tcW w:type="dxa" w:w="2736"/>
          </w:tcPr>
          <w:p>
            <w:pPr>
              <w:spacing w:before="20" w:after="20" w:line="240" w:lineRule="exact"/>
              <w:jc w:val="left"/>
            </w:pPr>
            <w:r>
              <w:rPr>
                <w:rFonts w:ascii="Times New Roman" w:hAnsi="Times New Roman"/>
                <w:b w:val="0"/>
                <w:sz w:val="18"/>
              </w:rPr>
              <w:t>Expansion Cohort</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DLT term x / Gr 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L16.2.32</w:t>
      </w:r>
    </w:p>
    <w:p>
      <w:pPr>
        <w:spacing w:before="0" w:after="0"/>
      </w:pPr>
      <w:r>
        <w:rPr>
          <w:rFonts w:ascii="Times New Roman" w:hAnsi="Times New Roman"/>
          <w:i/>
          <w:sz w:val="16"/>
        </w:rPr>
        <w:t>[2] DLT window and evaluability criteria per dose-escalation section of protocol/SAP. Multiple DLT terms may be summarized per subject.</w:t>
      </w:r>
    </w:p>
    <w:p>
      <w:pPr>
        <w:spacing w:before="0" w:after="0"/>
      </w:pPr>
      <w:r>
        <w:rPr>
          <w:rFonts w:ascii="Times New Roman" w:hAnsi="Times New Roman"/>
          <w:i/>
          <w:sz w:val="16"/>
        </w:rPr>
        <w:t>[3] Abbreviations: DLT = dose-limiting toxicity.</w:t>
      </w:r>
    </w:p>
    <w:p>
      <w:pPr>
        <w:spacing w:before="0" w:after="0"/>
      </w:pPr>
      <w:r>
        <w:rPr>
          <w:rFonts w:ascii="Times New Roman" w:hAnsi="Times New Roman"/>
          <w:i/>
          <w:sz w:val="16"/>
        </w:rPr>
        <w:t>[4] Statistical definitions: Percentages use subjects evaluable at the corresponding visit or cycle within each treatment group unless otherwise specified.</w:t>
      </w:r>
    </w:p>
    <w:p>
      <w:pPr>
        <w:spacing w:before="0" w:after="0"/>
      </w:pPr>
      <w:r>
        <w:rPr>
          <w:rFonts w:ascii="Times New Roman" w:hAnsi="Times New Roman"/>
          <w:i/>
          <w:sz w:val="16"/>
        </w:rPr>
        <w:t>[5] Dataset: ADSL, ADAE, ADEX. Program: t_dlt_by_dose.sas.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14.3.4.18  Maximum Tolerated Dose / RP2D Determination Summary by Dose Level and Cohort</w:t>
      </w:r>
      <w:r>
        <w:bookmarkStart w:id="0" w:name="T14.3.4.18"/>
        <w:bookmarkEnd w:id="0"/>
      </w:r>
    </w:p>
    <w:p>
      <w:pPr>
        <w:keepNext/>
        <w:spacing w:before="40" w:after="160"/>
      </w:pPr>
      <w:r>
        <w:rPr>
          <w:rFonts w:ascii="Times New Roman" w:hAnsi="Times New Roman"/>
          <w:i/>
          <w:sz w:val="18"/>
        </w:rPr>
        <w:t>Analysis Set: All Treated Subjects in Dose Escalation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Dose Level Decision Summary</w:t>
            </w:r>
          </w:p>
        </w:tc>
        <w:tc>
          <w:tcPr>
            <w:tcW w:type="dxa" w:w="2736"/>
            <w:shd w:fill="F2F2F2" w:val="clear"/>
            <w:tcBorders>
              <w:bottom w:val="single" w:sz="4" w:space="0" w:color="000000"/>
            </w:tcBorders>
          </w:tcPr>
          <w:p>
            <w:pPr>
              <w:jc w:val="center"/>
            </w:pPr>
            <w:r>
              <w:rPr>
                <w:rFonts w:ascii="Times New Roman" w:hAnsi="Times New Roman"/>
                <w:b/>
                <w:sz w:val="18"/>
              </w:rPr>
              <w:t>Subjects Treated</w:t>
            </w:r>
          </w:p>
        </w:tc>
        <w:tc>
          <w:tcPr>
            <w:tcW w:type="dxa" w:w="2736"/>
            <w:shd w:fill="F2F2F2" w:val="clear"/>
            <w:tcBorders>
              <w:bottom w:val="single" w:sz="4" w:space="0" w:color="000000"/>
            </w:tcBorders>
          </w:tcPr>
          <w:p>
            <w:pPr>
              <w:jc w:val="center"/>
            </w:pPr>
            <w:r>
              <w:rPr>
                <w:rFonts w:ascii="Times New Roman" w:hAnsi="Times New Roman"/>
                <w:b/>
                <w:sz w:val="18"/>
              </w:rPr>
              <w:t>Observed DLT Rate</w:t>
            </w:r>
          </w:p>
        </w:tc>
        <w:tc>
          <w:tcPr>
            <w:tcW w:type="dxa" w:w="2736"/>
            <w:shd w:fill="F2F2F2" w:val="clear"/>
            <w:tcBorders>
              <w:bottom w:val="single" w:sz="4" w:space="0" w:color="000000"/>
            </w:tcBorders>
          </w:tcPr>
          <w:p>
            <w:pPr>
              <w:jc w:val="center"/>
            </w:pPr>
            <w:r>
              <w:rPr>
                <w:rFonts w:ascii="Times New Roman" w:hAnsi="Times New Roman"/>
                <w:b/>
                <w:sz w:val="18"/>
              </w:rPr>
              <w:t>Review Committee Decision</w:t>
            </w:r>
          </w:p>
        </w:tc>
        <w:tc>
          <w:tcPr>
            <w:tcW w:type="dxa" w:w="2736"/>
            <w:shd w:fill="F2F2F2" w:val="clear"/>
            <w:tcBorders>
              <w:bottom w:val="single" w:sz="4" w:space="0" w:color="000000"/>
            </w:tcBorders>
          </w:tcPr>
          <w:p>
            <w:pPr>
              <w:jc w:val="center"/>
            </w:pPr>
            <w:r>
              <w:rPr>
                <w:rFonts w:ascii="Times New Roman" w:hAnsi="Times New Roman"/>
                <w:b/>
                <w:sz w:val="18"/>
              </w:rPr>
              <w:t>Rationale</w:t>
            </w:r>
          </w:p>
        </w:tc>
      </w:tr>
      <w:tr>
        <w:tc>
          <w:tcPr>
            <w:tcW w:type="dxa" w:w="2736"/>
          </w:tcPr>
          <w:p>
            <w:pPr>
              <w:spacing w:before="20" w:after="20" w:line="240" w:lineRule="exact"/>
              <w:jc w:val="left"/>
            </w:pPr>
            <w:r>
              <w:rPr>
                <w:rFonts w:ascii="Times New Roman" w:hAnsi="Times New Roman"/>
                <w:b w:val="0"/>
                <w:sz w:val="18"/>
              </w:rPr>
              <w:t>Dose Level 1</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Escalate / Expand / Stop</w:t>
            </w:r>
          </w:p>
        </w:tc>
        <w:tc>
          <w:tcPr>
            <w:tcW w:type="dxa" w:w="2736"/>
          </w:tcPr>
          <w:p>
            <w:pPr>
              <w:spacing w:before="20" w:after="20" w:line="240" w:lineRule="exact"/>
              <w:jc w:val="center"/>
            </w:pPr>
            <w:r>
              <w:rPr>
                <w:rFonts w:ascii="Times New Roman" w:hAnsi="Times New Roman"/>
                <w:b w:val="0"/>
                <w:sz w:val="18"/>
              </w:rPr>
              <w:t>No protocol-defined DLT threshold met</w:t>
            </w:r>
          </w:p>
        </w:tc>
      </w:tr>
      <w:tr>
        <w:tc>
          <w:tcPr>
            <w:tcW w:type="dxa" w:w="2736"/>
          </w:tcPr>
          <w:p>
            <w:pPr>
              <w:spacing w:before="20" w:after="20" w:line="240" w:lineRule="exact"/>
              <w:jc w:val="left"/>
            </w:pPr>
            <w:r>
              <w:rPr>
                <w:rFonts w:ascii="Times New Roman" w:hAnsi="Times New Roman"/>
                <w:b w:val="0"/>
                <w:sz w:val="18"/>
              </w:rPr>
              <w:t>Dose Level 2</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Escalate / Expand / Stop</w:t>
            </w:r>
          </w:p>
        </w:tc>
        <w:tc>
          <w:tcPr>
            <w:tcW w:type="dxa" w:w="2736"/>
          </w:tcPr>
          <w:p>
            <w:pPr>
              <w:spacing w:before="20" w:after="20" w:line="240" w:lineRule="exact"/>
              <w:jc w:val="center"/>
            </w:pPr>
            <w:r>
              <w:rPr>
                <w:rFonts w:ascii="Times New Roman" w:hAnsi="Times New Roman"/>
                <w:b w:val="0"/>
                <w:sz w:val="18"/>
              </w:rPr>
              <w:t>Observed DLTs within acceptable boundary</w:t>
            </w:r>
          </w:p>
        </w:tc>
      </w:tr>
      <w:tr>
        <w:tc>
          <w:tcPr>
            <w:tcW w:type="dxa" w:w="2736"/>
          </w:tcPr>
          <w:p>
            <w:pPr>
              <w:spacing w:before="20" w:after="20" w:line="240" w:lineRule="exact"/>
              <w:jc w:val="left"/>
            </w:pPr>
            <w:r>
              <w:rPr>
                <w:rFonts w:ascii="Times New Roman" w:hAnsi="Times New Roman"/>
                <w:b w:val="0"/>
                <w:sz w:val="18"/>
              </w:rPr>
              <w:t>Dose Level 3</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MTD Exceeded / RP2D Selected</w:t>
            </w:r>
          </w:p>
        </w:tc>
        <w:tc>
          <w:tcPr>
            <w:tcW w:type="dxa" w:w="2736"/>
          </w:tcPr>
          <w:p>
            <w:pPr>
              <w:spacing w:before="20" w:after="20" w:line="240" w:lineRule="exact"/>
              <w:jc w:val="center"/>
            </w:pPr>
            <w:r>
              <w:rPr>
                <w:rFonts w:ascii="Times New Roman" w:hAnsi="Times New Roman"/>
                <w:b w:val="0"/>
                <w:sz w:val="18"/>
              </w:rPr>
              <w:t>DLT frequency exceeded decision rule</w:t>
            </w:r>
          </w:p>
        </w:tc>
      </w:tr>
      <w:tr>
        <w:tc>
          <w:tcPr>
            <w:tcW w:type="dxa" w:w="2736"/>
          </w:tcPr>
          <w:p>
            <w:pPr>
              <w:spacing w:before="20" w:after="20" w:line="240" w:lineRule="exact"/>
              <w:jc w:val="left"/>
            </w:pPr>
            <w:r>
              <w:rPr>
                <w:rFonts w:ascii="Times New Roman" w:hAnsi="Times New Roman"/>
                <w:b w:val="0"/>
                <w:sz w:val="18"/>
              </w:rPr>
              <w:t>Recommended Phase II Dose</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N/A</w:t>
            </w:r>
          </w:p>
        </w:tc>
        <w:tc>
          <w:tcPr>
            <w:tcW w:type="dxa" w:w="2736"/>
          </w:tcPr>
          <w:p>
            <w:pPr>
              <w:spacing w:before="20" w:after="20" w:line="240" w:lineRule="exact"/>
              <w:jc w:val="center"/>
            </w:pPr>
            <w:r>
              <w:rPr>
                <w:rFonts w:ascii="Times New Roman" w:hAnsi="Times New Roman"/>
                <w:b w:val="0"/>
                <w:sz w:val="18"/>
              </w:rPr>
              <w:t>RP2D</w:t>
            </w:r>
          </w:p>
        </w:tc>
        <w:tc>
          <w:tcPr>
            <w:tcW w:type="dxa" w:w="2736"/>
          </w:tcPr>
          <w:p>
            <w:pPr>
              <w:spacing w:before="20" w:after="20" w:line="240" w:lineRule="exact"/>
              <w:jc w:val="center"/>
            </w:pPr>
            <w:r>
              <w:rPr>
                <w:rFonts w:ascii="Times New Roman" w:hAnsi="Times New Roman"/>
                <w:b w:val="0"/>
                <w:sz w:val="18"/>
              </w:rPr>
              <w:t>Integrated safety, PK, and target-exposure review</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L16.2.32</w:t>
      </w:r>
    </w:p>
    <w:p>
      <w:pPr>
        <w:spacing w:before="0" w:after="0"/>
      </w:pPr>
      <w:r>
        <w:rPr>
          <w:rFonts w:ascii="Times New Roman" w:hAnsi="Times New Roman"/>
          <w:i/>
          <w:sz w:val="16"/>
        </w:rPr>
        <w:t>[2] Review decision rules per protocol-defined escalation algorithm or SRC charter. RP2D may differ from formal MTD.</w:t>
      </w:r>
    </w:p>
    <w:p>
      <w:pPr>
        <w:spacing w:before="0" w:after="0"/>
      </w:pPr>
      <w:r>
        <w:rPr>
          <w:rFonts w:ascii="Times New Roman" w:hAnsi="Times New Roman"/>
          <w:i/>
          <w:sz w:val="16"/>
        </w:rPr>
        <w:t>[3] Abbreviations: DLT = dose-limiting toxicity; MTD = maximum tolerated dose; RP2D = recommended Phase II dose.</w:t>
      </w:r>
    </w:p>
    <w:p>
      <w:pPr>
        <w:spacing w:before="0" w:after="0"/>
      </w:pPr>
      <w:r>
        <w:rPr>
          <w:rFonts w:ascii="Times New Roman" w:hAnsi="Times New Roman"/>
          <w:i/>
          <w:sz w:val="16"/>
        </w:rPr>
        <w:t>[4] Dataset: ADSL, ADAE, ADEX, ADPC. Program: t_mtd_rp2d.sas.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14.3.4.1  Mean (+/- SD) Vital Signs Over Time</w:t>
      </w:r>
      <w:r>
        <w:bookmarkStart w:id="0" w:name="F14.3.4.1"/>
        <w:bookmarkEnd w:id="0"/>
      </w:r>
    </w:p>
    <w:p>
      <w:pPr>
        <w:keepNext/>
        <w:spacing w:before="40" w:after="160"/>
      </w:pPr>
      <w:r>
        <w:rPr>
          <w:rFonts w:ascii="Times New Roman" w:hAnsi="Times New Roman"/>
          <w:i/>
          <w:sz w:val="18"/>
        </w:rPr>
        <w:t>Analysis Set: Safety Population</w:t>
      </w:r>
    </w:p>
    <w:p>
      <w:pPr>
        <w:spacing w:before="120" w:after="40"/>
        <w:jc w:val="center"/>
      </w:pPr>
      <w:r>
        <w:drawing>
          <wp:inline xmlns:a="http://schemas.openxmlformats.org/drawingml/2006/main" xmlns:pic="http://schemas.openxmlformats.org/drawingml/2006/picture">
            <wp:extent cx="5486400" cy="3484030"/>
            <wp:docPr id="22" name="Picture 2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3484030"/>
                    </a:xfrm>
                    <a:prstGeom prst="rect"/>
                  </pic:spPr>
                </pic:pic>
              </a:graphicData>
            </a:graphic>
          </wp:inline>
        </w:drawing>
      </w:r>
    </w:p>
    <w:p>
      <w:pPr>
        <w:keepNext/>
        <w:spacing w:before="0" w:after="40"/>
        <w:jc w:val="center"/>
      </w:pPr>
      <w:r>
        <w:rPr>
          <w:rFonts w:ascii="Times New Roman" w:hAnsi="Times New Roman"/>
          <w:i/>
          <w:color w:val="646464"/>
          <w:sz w:val="16"/>
        </w:rPr>
        <w:t>[Figure 14.3.4.1: Multi-panel: mean ± SD of SBP, DBP, HR, Weight over visits.]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L16.2.8</w:t>
      </w:r>
    </w:p>
    <w:p>
      <w:pPr>
        <w:spacing w:before="0" w:after="0"/>
      </w:pPr>
      <w:r>
        <w:rPr>
          <w:rFonts w:ascii="Times New Roman" w:hAnsi="Times New Roman"/>
          <w:i/>
          <w:sz w:val="16"/>
        </w:rPr>
        <w:t>[2] Dataset: ADSL, ADVS. Program: f_vs_longitudinal.sas.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14.3.4.2  QTcF vs. Plasma Drug Concentration Scatter Plot with LOESS Fit</w:t>
      </w:r>
      <w:r>
        <w:bookmarkStart w:id="0" w:name="F14.3.4.2"/>
        <w:bookmarkEnd w:id="0"/>
      </w:r>
    </w:p>
    <w:p>
      <w:pPr>
        <w:keepNext/>
        <w:spacing w:before="40" w:after="160"/>
      </w:pPr>
      <w:r>
        <w:rPr>
          <w:rFonts w:ascii="Times New Roman" w:hAnsi="Times New Roman"/>
          <w:i/>
          <w:sz w:val="18"/>
        </w:rPr>
        <w:t>Analysis Set: Safety Population with Time-Matched PK and ECG</w:t>
      </w:r>
    </w:p>
    <w:p>
      <w:pPr>
        <w:spacing w:before="120" w:after="40"/>
        <w:jc w:val="center"/>
      </w:pPr>
      <w:r>
        <w:drawing>
          <wp:inline xmlns:a="http://schemas.openxmlformats.org/drawingml/2006/main" xmlns:pic="http://schemas.openxmlformats.org/drawingml/2006/picture">
            <wp:extent cx="5029200" cy="3099935"/>
            <wp:docPr id="23" name="Picture 2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099935"/>
                    </a:xfrm>
                    <a:prstGeom prst="rect"/>
                  </pic:spPr>
                </pic:pic>
              </a:graphicData>
            </a:graphic>
          </wp:inline>
        </w:drawing>
      </w:r>
    </w:p>
    <w:p>
      <w:pPr>
        <w:keepNext/>
        <w:spacing w:before="0" w:after="40"/>
        <w:jc w:val="center"/>
      </w:pPr>
      <w:r>
        <w:rPr>
          <w:rFonts w:ascii="Times New Roman" w:hAnsi="Times New Roman"/>
          <w:i/>
          <w:color w:val="646464"/>
          <w:sz w:val="16"/>
        </w:rPr>
        <w:t>[Figure 14.3.4.2: Scatter: placebo-adjusted change from baseline QTcF vs. plasma concentration, LOESS fit with 90% CI band, ICH E14 reference line at 10 ms.]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L16.2.9</w:t>
      </w:r>
    </w:p>
    <w:p>
      <w:pPr>
        <w:spacing w:before="0" w:after="0"/>
      </w:pPr>
      <w:r>
        <w:rPr>
          <w:rFonts w:ascii="Times New Roman" w:hAnsi="Times New Roman"/>
          <w:i/>
          <w:sz w:val="16"/>
        </w:rPr>
        <w:t>[2] Dataset: ADSL, ADEG, ADPC. Program: f_qtcf_conc.sas.</w:t>
      </w:r>
      <w:r>
        <w:br w:type="page"/>
      </w:r>
    </w:p>
    <w:p>
      <w:pPr>
        <w:pStyle w:val="Heading2"/>
      </w:pPr>
      <w:r>
        <w:t>14.4  Special Assessments</w:t>
      </w:r>
    </w:p>
    <w:p>
      <w:pPr>
        <w:pStyle w:val="Heading3"/>
        <w:spacing w:before="120" w:after="80"/>
      </w:pPr>
      <w:r>
        <w:rPr>
          <w:rFonts w:ascii="Times New Roman" w:hAnsi="Times New Roman"/>
          <w:b/>
          <w:color w:val="003366"/>
          <w:sz w:val="22"/>
        </w:rPr>
        <w:t>Tables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14.4.1  Summary of Pharmacokinetic Concentrations by Timepoint</w:t>
      </w:r>
      <w:r>
        <w:bookmarkStart w:id="0" w:name="T14.4.1"/>
        <w:bookmarkEnd w:id="0"/>
      </w:r>
    </w:p>
    <w:p>
      <w:pPr>
        <w:keepNext/>
        <w:spacing w:before="40" w:after="160"/>
      </w:pPr>
      <w:r>
        <w:rPr>
          <w:rFonts w:ascii="Times New Roman" w:hAnsi="Times New Roman"/>
          <w:i/>
          <w:sz w:val="18"/>
        </w:rPr>
        <w:t>Analysis Set: PK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Timepoint</w:t>
            </w:r>
          </w:p>
          <w:p>
            <w:pPr>
              <w:spacing w:before="0" w:after="0"/>
              <w:jc w:val="left"/>
            </w:pPr>
            <w:r>
              <w:rPr>
                <w:rFonts w:ascii="Times New Roman" w:hAnsi="Times New Roman"/>
                <w:b/>
                <w:sz w:val="18"/>
              </w:rPr>
              <w:t>(h)</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Pre-dose (0h)</w:t>
            </w:r>
          </w:p>
        </w:tc>
        <w:tc>
          <w:tcPr>
            <w:tcW w:type="dxa" w:w="2280"/>
          </w:tcPr>
          <w:p>
            <w:pPr>
              <w:spacing w:before="20" w:after="20" w:line="240" w:lineRule="exact"/>
              <w:jc w:val="center"/>
            </w:pPr>
            <w:r>
              <w:rPr>
                <w:rFonts w:ascii="Times New Roman" w:hAnsi="Times New Roman"/>
                <w:b w:val="0"/>
                <w:sz w:val="18"/>
              </w:rPr>
              <w:t>Mean (SD), ng/mL</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Cmax (Tmax)</w:t>
            </w:r>
          </w:p>
        </w:tc>
        <w:tc>
          <w:tcPr>
            <w:tcW w:type="dxa" w:w="2280"/>
          </w:tcPr>
          <w:p>
            <w:pPr>
              <w:spacing w:before="20" w:after="20" w:line="240" w:lineRule="exact"/>
              <w:jc w:val="center"/>
            </w:pPr>
            <w:r>
              <w:rPr>
                <w:rFonts w:ascii="Times New Roman" w:hAnsi="Times New Roman"/>
                <w:b w:val="0"/>
                <w:sz w:val="18"/>
              </w:rPr>
              <w:t>Mean (SD), ng/mL</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Cmin (24h)</w:t>
            </w:r>
          </w:p>
        </w:tc>
        <w:tc>
          <w:tcPr>
            <w:tcW w:type="dxa" w:w="2280"/>
          </w:tcPr>
          <w:p>
            <w:pPr>
              <w:spacing w:before="20" w:after="20" w:line="240" w:lineRule="exact"/>
              <w:jc w:val="center"/>
            </w:pPr>
            <w:r>
              <w:rPr>
                <w:rFonts w:ascii="Times New Roman" w:hAnsi="Times New Roman"/>
                <w:b w:val="0"/>
                <w:sz w:val="18"/>
              </w:rPr>
              <w:t>Mean (SD), ng/mL</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Abbreviations: PK = pharmacokinetic; Cmax = maximum observed concentration; Cmin = minimum observed concentration; Tmax = time to maximum observed concentration.</w:t>
      </w:r>
    </w:p>
    <w:p>
      <w:pPr>
        <w:spacing w:before="0" w:after="0"/>
      </w:pPr>
      <w:r>
        <w:rPr>
          <w:rFonts w:ascii="Times New Roman" w:hAnsi="Times New Roman"/>
          <w:i/>
          <w:sz w:val="16"/>
        </w:rPr>
        <w:t>[2] Dataset: ADSL, ADPC. Program: t_pk_conc.sas.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14.4.2  Summary of Pharmacokinetic Parameters</w:t>
      </w:r>
      <w:r>
        <w:bookmarkStart w:id="0" w:name="T14.4.2"/>
        <w:bookmarkEnd w:id="0"/>
      </w:r>
    </w:p>
    <w:p>
      <w:pPr>
        <w:keepNext/>
        <w:spacing w:before="40" w:after="160"/>
      </w:pPr>
      <w:r>
        <w:rPr>
          <w:rFonts w:ascii="Times New Roman" w:hAnsi="Times New Roman"/>
          <w:i/>
          <w:sz w:val="18"/>
        </w:rPr>
        <w:t>Analysis Set: PK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PK Parameter</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Cmax (ng/mL)</w:t>
            </w:r>
          </w:p>
        </w:tc>
        <w:tc>
          <w:tcPr>
            <w:tcW w:type="dxa" w:w="2280"/>
          </w:tcPr>
          <w:p>
            <w:pPr>
              <w:spacing w:before="20" w:after="20" w:line="240" w:lineRule="exact"/>
              <w:jc w:val="center"/>
            </w:pPr>
            <w:r>
              <w:rPr>
                <w:rFonts w:ascii="Times New Roman" w:hAnsi="Times New Roman"/>
                <w:b w:val="0"/>
                <w:sz w:val="18"/>
              </w:rPr>
              <w:t>Geo Mean (CV%)</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AUC0-tau (ng·h/mL)</w:t>
            </w:r>
          </w:p>
        </w:tc>
        <w:tc>
          <w:tcPr>
            <w:tcW w:type="dxa" w:w="2280"/>
          </w:tcPr>
          <w:p>
            <w:pPr>
              <w:spacing w:before="20" w:after="20" w:line="240" w:lineRule="exact"/>
              <w:jc w:val="center"/>
            </w:pPr>
            <w:r>
              <w:rPr>
                <w:rFonts w:ascii="Times New Roman" w:hAnsi="Times New Roman"/>
                <w:b w:val="0"/>
                <w:sz w:val="18"/>
              </w:rPr>
              <w:t>Geo Mean (CV%)</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AUC0-inf (ng·h/mL)</w:t>
            </w:r>
          </w:p>
        </w:tc>
        <w:tc>
          <w:tcPr>
            <w:tcW w:type="dxa" w:w="2280"/>
          </w:tcPr>
          <w:p>
            <w:pPr>
              <w:spacing w:before="20" w:after="20" w:line="240" w:lineRule="exact"/>
              <w:jc w:val="center"/>
            </w:pPr>
            <w:r>
              <w:rPr>
                <w:rFonts w:ascii="Times New Roman" w:hAnsi="Times New Roman"/>
                <w:b w:val="0"/>
                <w:sz w:val="18"/>
              </w:rPr>
              <w:t>Geo Mean (CV%)</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Tmax (h)</w:t>
            </w:r>
          </w:p>
        </w:tc>
        <w:tc>
          <w:tcPr>
            <w:tcW w:type="dxa" w:w="2280"/>
          </w:tcPr>
          <w:p>
            <w:pPr>
              <w:spacing w:before="20" w:after="20" w:line="240" w:lineRule="exact"/>
              <w:jc w:val="center"/>
            </w:pPr>
            <w:r>
              <w:rPr>
                <w:rFonts w:ascii="Times New Roman" w:hAnsi="Times New Roman"/>
                <w:b w:val="0"/>
                <w:sz w:val="18"/>
              </w:rPr>
              <w:t>Median (Range)</w:t>
            </w:r>
          </w:p>
        </w:tc>
        <w:tc>
          <w:tcPr>
            <w:tcW w:type="dxa" w:w="2280"/>
          </w:tcPr>
          <w:p>
            <w:pPr>
              <w:spacing w:before="20" w:after="20" w:line="240" w:lineRule="exact"/>
              <w:jc w:val="center"/>
            </w:pPr>
            <w:r>
              <w:rPr>
                <w:rFonts w:ascii="Times New Roman" w:hAnsi="Times New Roman"/>
                <w:b w:val="0"/>
                <w:sz w:val="18"/>
              </w:rPr>
              <w:t>x.x (x.x-x.x)</w:t>
            </w:r>
          </w:p>
        </w:tc>
        <w:tc>
          <w:tcPr>
            <w:tcW w:type="dxa" w:w="2280"/>
          </w:tcPr>
          <w:p>
            <w:pPr>
              <w:spacing w:before="20" w:after="20" w:line="240" w:lineRule="exact"/>
              <w:jc w:val="center"/>
            </w:pPr>
            <w:r>
              <w:rPr>
                <w:rFonts w:ascii="Times New Roman" w:hAnsi="Times New Roman"/>
                <w:b w:val="0"/>
                <w:sz w:val="18"/>
              </w:rPr>
              <w:t>x.x (x.x-x.x)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(x.x-x.x)</w:t>
            </w:r>
          </w:p>
        </w:tc>
      </w:tr>
      <w:tr>
        <w:tc>
          <w:tcPr>
            <w:tcW w:type="dxa" w:w="2280"/>
          </w:tcPr>
          <w:p>
            <w:pPr>
              <w:spacing w:before="20" w:after="20" w:line="240" w:lineRule="exact"/>
              <w:jc w:val="left"/>
            </w:pPr>
            <w:r>
              <w:rPr>
                <w:rFonts w:ascii="Times New Roman" w:hAnsi="Times New Roman"/>
                <w:b w:val="0"/>
                <w:sz w:val="18"/>
              </w:rPr>
              <w:t>t1/2 (h)</w:t>
            </w:r>
          </w:p>
        </w:tc>
        <w:tc>
          <w:tcPr>
            <w:tcW w:type="dxa" w:w="2280"/>
          </w:tcPr>
          <w:p>
            <w:pPr>
              <w:spacing w:before="20" w:after="20" w:line="240" w:lineRule="exact"/>
              <w:jc w:val="center"/>
            </w:pPr>
            <w:r>
              <w:rPr>
                <w:rFonts w:ascii="Times New Roman" w:hAnsi="Times New Roman"/>
                <w:b w:val="0"/>
                <w:sz w:val="18"/>
              </w:rPr>
              <w:t>Mean (SD)</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Abbreviations: PK = pharmacokinetic; Cmax = maximum observed concentration; Tmax = time to maximum observed concentration; AUC = area under the concentration-time curve.</w:t>
      </w:r>
    </w:p>
    <w:p>
      <w:pPr>
        <w:spacing w:before="0" w:after="0"/>
      </w:pPr>
      <w:r>
        <w:rPr>
          <w:rFonts w:ascii="Times New Roman" w:hAnsi="Times New Roman"/>
          <w:i/>
          <w:sz w:val="16"/>
        </w:rPr>
        <w:t>[2] Dataset: ADSL, ADPP. Program: t_pk_params.sas.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14.4.3  Summary of Anti-Drug Antibody (ADA) Incidence</w:t>
      </w:r>
      <w:r>
        <w:bookmarkStart w:id="0" w:name="T14.4.3"/>
        <w:bookmarkEnd w:id="0"/>
      </w:r>
    </w:p>
    <w:p>
      <w:pPr>
        <w:keepNext/>
        <w:spacing w:before="40" w:after="160"/>
      </w:pPr>
      <w:r>
        <w:rPr>
          <w:rFonts w:ascii="Times New Roman" w:hAnsi="Times New Roman"/>
          <w:i/>
          <w:sz w:val="18"/>
        </w:rPr>
        <w:t>Analysis Set: Safety Population with ADA Samples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ADA 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 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 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 n (%)</w:t>
            </w:r>
          </w:p>
        </w:tc>
      </w:tr>
      <w:tr>
        <w:tc>
          <w:tcPr>
            <w:tcW w:type="dxa" w:w="2736"/>
          </w:tcPr>
          <w:p>
            <w:pPr>
              <w:spacing w:before="20" w:after="20" w:line="240" w:lineRule="exact"/>
              <w:jc w:val="left"/>
            </w:pPr>
            <w:r>
              <w:rPr>
                <w:rFonts w:ascii="Times New Roman" w:hAnsi="Times New Roman"/>
                <w:b w:val="0"/>
                <w:sz w:val="18"/>
              </w:rPr>
              <w:t>ADA Evaluable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ADA Positive at Baseline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ADA Positive Post-Baseline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Treatment-Emergent ADA Positive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Neutralizing Antibody (Nab) Positive</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20" w:after="20" w:line="240" w:lineRule="exact"/>
              <w:jc w:val="left"/>
            </w:pPr>
            <w:r>
              <w:rPr>
                <w:rFonts w:ascii="Times New Roman" w:hAnsi="Times New Roman"/>
                <w:b w:val="0"/>
                <w:sz w:val="18"/>
              </w:rPr>
              <w:t>[Additional rows omitted in master shell]</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L16.2.16</w:t>
      </w:r>
    </w:p>
    <w:p>
      <w:pPr>
        <w:spacing w:before="0" w:after="0"/>
      </w:pPr>
      <w:r>
        <w:rPr>
          <w:rFonts w:ascii="Times New Roman" w:hAnsi="Times New Roman"/>
          <w:i/>
          <w:sz w:val="16"/>
        </w:rPr>
        <w:t>[2] Abbreviations: ADA = anti-drug antibody; NAb = neutralizing antibody.</w:t>
      </w:r>
    </w:p>
    <w:p>
      <w:pPr>
        <w:spacing w:before="0" w:after="0"/>
      </w:pPr>
      <w:r>
        <w:rPr>
          <w:rFonts w:ascii="Times New Roman" w:hAnsi="Times New Roman"/>
          <w:i/>
          <w:sz w:val="16"/>
        </w:rPr>
        <w:t>[3] Statistical definitions: Percentages use the stated analysis population within each treatment group unless otherwise specified.</w:t>
      </w:r>
    </w:p>
    <w:p>
      <w:pPr>
        <w:spacing w:before="0" w:after="0"/>
      </w:pPr>
      <w:r>
        <w:rPr>
          <w:rFonts w:ascii="Times New Roman" w:hAnsi="Times New Roman"/>
          <w:i/>
          <w:sz w:val="16"/>
        </w:rPr>
        <w:t>[4] Dataset: ADSL, ADIS. Program: t_ada_incidence.sas.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14.4.4  Summary of Biomarker Results by Visit</w:t>
      </w:r>
      <w:r>
        <w:bookmarkStart w:id="0" w:name="T14.4.4"/>
        <w:bookmarkEnd w:id="0"/>
      </w:r>
    </w:p>
    <w:p>
      <w:pPr>
        <w:keepNext/>
        <w:spacing w:before="40" w:after="160"/>
      </w:pPr>
      <w:r>
        <w:rPr>
          <w:rFonts w:ascii="Times New Roman" w:hAnsi="Times New Roman"/>
          <w:i/>
          <w:sz w:val="18"/>
        </w:rPr>
        <w:t>Analysis Set: ITT Population with Biomarker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Visit /</w:t>
            </w:r>
          </w:p>
          <w:p>
            <w:pPr>
              <w:spacing w:before="0" w:after="0"/>
              <w:jc w:val="left"/>
            </w:pPr>
            <w:r>
              <w:rPr>
                <w:rFonts w:ascii="Times New Roman" w:hAnsi="Times New Roman"/>
                <w:b/>
                <w:sz w:val="18"/>
              </w:rPr>
              <w:t>Biomarker /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Baseline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 xml:space="preserve">      ctDNA (ng/mL)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Geometric Mean (CV%)</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Protocol-Defined Post-Baseline Visit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 xml:space="preserve">      ctDNA (ng/mL)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Geometric Mean (CV%)</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End of Treatment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 xml:space="preserve">      ctDNA (ng/mL)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Geometric Mean (CV%)</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Visits are the highest row hierarchy; biomarkers and descriptive statistics are nested beneath each visit.</w:t>
      </w:r>
    </w:p>
    <w:p>
      <w:pPr>
        <w:spacing w:before="0" w:after="0"/>
      </w:pPr>
      <w:r>
        <w:rPr>
          <w:rFonts w:ascii="Times New Roman" w:hAnsi="Times New Roman"/>
          <w:i/>
          <w:sz w:val="16"/>
        </w:rPr>
        <w:t>[3] Abbreviations: ITT = intent-to-treat; CV = coefficient of variation.</w:t>
      </w:r>
    </w:p>
    <w:p>
      <w:pPr>
        <w:spacing w:before="0" w:after="0"/>
      </w:pPr>
      <w:r>
        <w:rPr>
          <w:rFonts w:ascii="Times New Roman" w:hAnsi="Times New Roman"/>
          <w:i/>
          <w:sz w:val="16"/>
        </w:rPr>
        <w:t>[4] Statistical definitions: Descriptive statistics are calculated from non-missing observations unless the SAP states otherwise.</w:t>
      </w:r>
    </w:p>
    <w:p>
      <w:pPr>
        <w:spacing w:before="0" w:after="0"/>
      </w:pPr>
      <w:r>
        <w:rPr>
          <w:rFonts w:ascii="Times New Roman" w:hAnsi="Times New Roman"/>
          <w:i/>
          <w:sz w:val="16"/>
        </w:rPr>
        <w:t>[5] Dataset: ADSL, ADBM. Program: t_biomarker_visit.sas.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14.4.5  Summary of Patient-Reported Outcomes by Visit</w:t>
      </w:r>
      <w:r>
        <w:bookmarkStart w:id="0" w:name="T14.4.5"/>
        <w:bookmarkEnd w:id="0"/>
      </w:r>
    </w:p>
    <w:p>
      <w:pPr>
        <w:keepNext/>
        <w:spacing w:before="40" w:after="160"/>
      </w:pPr>
      <w:r>
        <w:rPr>
          <w:rFonts w:ascii="Times New Roman" w:hAnsi="Times New Roman"/>
          <w:i/>
          <w:sz w:val="18"/>
        </w:rPr>
        <w:t>Analysis Set: ITT Population with PRO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vMerge w:val="restart"/>
            <w:shd w:fill="F2F2F2" w:val="clear"/>
            <w:tcBorders>
              <w:bottom w:val="single" w:sz="4" w:space="0" w:color="000000"/>
            </w:tcBorders>
          </w:tcPr>
          <w:p>
            <w:pPr>
              <w:spacing w:before="0" w:after="0"/>
              <w:jc w:val="left"/>
            </w:pPr>
            <w:r>
              <w:rPr>
                <w:rFonts w:ascii="Times New Roman" w:hAnsi="Times New Roman"/>
                <w:b/>
                <w:sz w:val="18"/>
              </w:rPr>
              <w:t>Parameter /</w:t>
            </w:r>
          </w:p>
          <w:p>
            <w:pPr>
              <w:spacing w:before="0" w:after="0"/>
              <w:jc w:val="left"/>
            </w:pPr>
            <w:r>
              <w:rPr>
                <w:rFonts w:ascii="Times New Roman" w:hAnsi="Times New Roman"/>
                <w:b/>
                <w:sz w:val="18"/>
              </w:rPr>
              <w:t>Visit / Statistic</w:t>
            </w:r>
          </w:p>
        </w:tc>
        <w:tc>
          <w:tcPr>
            <w:tcW w:type="dxa" w:w="5472"/>
            <w:gridSpan w:val="2"/>
            <w:shd w:fill="F2F2F2" w:val="clear"/>
            <w:tcBorders>
              <w:bottom w:val="single" w:sz="4" w:space="0" w:color="000000"/>
            </w:tcBorders>
          </w:tcPr>
          <w:p>
            <w:pPr>
              <w:jc w:val="center"/>
            </w:pPr>
            <w:r>
              <w:rPr>
                <w:rFonts w:ascii="Times New Roman" w:hAnsi="Times New Roman"/>
                <w:b/>
                <w:sz w:val="18"/>
              </w:rPr>
              <w:t>Treatment Estimates</w:t>
            </w:r>
          </w:p>
        </w:tc>
        <w:tc>
          <w:tcPr>
            <w:tcW w:type="dxa" w:w="5472"/>
            <w:gridSpan w:val="2"/>
            <w:shd w:fill="F2F2F2" w:val="clear"/>
            <w:tcBorders>
              <w:bottom w:val="single" w:sz="4" w:space="0" w:color="000000"/>
            </w:tcBorders>
          </w:tcPr>
          <w:p>
            <w:pPr>
              <w:jc w:val="center"/>
            </w:pPr>
            <w:r>
              <w:rPr>
                <w:rFonts w:ascii="Times New Roman" w:hAnsi="Times New Roman"/>
                <w:b/>
                <w:sz w:val="18"/>
              </w:rPr>
              <w:t>Treatment Comparison</w:t>
            </w:r>
          </w:p>
        </w:tc>
      </w:tr>
      <w:tr>
        <w:trPr>
          <w:tblHeader w:val="true"/>
        </w:trPr>
        <w:tc>
          <w:tcPr>
            <w:tcW w:type="dxa" w:w="2736"/>
            <w:vMerge/>
          </w:tcP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 vs Group 2</w:t>
            </w:r>
          </w:p>
          <w:p>
            <w:pPr>
              <w:spacing w:before="0" w:after="0"/>
              <w:jc w:val="center"/>
            </w:pPr>
            <w:r>
              <w:rPr>
                <w:rFonts w:ascii="Times New Roman" w:hAnsi="Times New Roman"/>
                <w:b/>
                <w:sz w:val="18"/>
              </w:rPr>
              <w:t>Estimate</w:t>
            </w:r>
          </w:p>
        </w:tc>
        <w:tc>
          <w:tcPr>
            <w:tcW w:type="dxa" w:w="2736"/>
            <w:shd w:fill="F2F2F2" w:val="clear"/>
            <w:tcBorders>
              <w:bottom w:val="single" w:sz="4" w:space="0" w:color="000000"/>
            </w:tcBorders>
          </w:tcPr>
          <w:p>
            <w:pPr>
              <w:jc w:val="center"/>
            </w:pPr>
            <w:r>
              <w:rPr>
                <w:rFonts w:ascii="Times New Roman" w:hAnsi="Times New Roman"/>
                <w:b/>
                <w:sz w:val="18"/>
              </w:rPr>
              <w:t>95% CI / p-value</w:t>
            </w:r>
          </w:p>
        </w:tc>
      </w:tr>
      <w:tr>
        <w:tc>
          <w:tcPr>
            <w:tcW w:type="dxa" w:w="2736"/>
          </w:tcPr>
          <w:p>
            <w:pPr>
              <w:spacing w:before="120" w:after="20" w:line="240" w:lineRule="exact"/>
              <w:jc w:val="left"/>
            </w:pPr>
            <w:r>
              <w:rPr>
                <w:rFonts w:ascii="Times New Roman" w:hAnsi="Times New Roman"/>
                <w:b/>
                <w:sz w:val="18"/>
              </w:rPr>
              <w:t>Baseline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 xml:space="preserve">      EORTC QLQ-C30 GHS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120" w:after="20" w:line="240" w:lineRule="exact"/>
              <w:jc w:val="left"/>
            </w:pPr>
            <w:r>
              <w:rPr>
                <w:rFonts w:ascii="Times New Roman" w:hAnsi="Times New Roman"/>
                <w:b/>
                <w:sz w:val="18"/>
              </w:rPr>
              <w:t>Protocol-Defined Post-Baseline Visit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 xml:space="preserve">      EORTC QLQ-C30 GHS</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Observed Mean (SD)</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LS Mean Change (SE)</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LS Mean Difference</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95% CI</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0" w:after="20" w:line="240" w:lineRule="exact"/>
              <w:jc w:val="left"/>
            </w:pPr>
            <w:r>
              <w:rPr>
                <w:rFonts w:ascii="Times New Roman" w:hAnsi="Times New Roman"/>
                <w:b w:val="0"/>
                <w:sz w:val="18"/>
              </w:rPr>
              <w:t xml:space="preserve">        p-value</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L16.2.18</w:t>
      </w:r>
    </w:p>
    <w:p>
      <w:pPr>
        <w:spacing w:before="0" w:after="0"/>
      </w:pPr>
      <w:r>
        <w:rPr>
          <w:rFonts w:ascii="Times New Roman" w:hAnsi="Times New Roman"/>
          <w:i/>
          <w:sz w:val="16"/>
        </w:rPr>
        <w:t>[2] Visits are the highest row hierarchy; PRO scale and statistics are nested beneath each visit.</w:t>
      </w:r>
    </w:p>
    <w:p>
      <w:pPr>
        <w:spacing w:before="0" w:after="0"/>
      </w:pPr>
      <w:r>
        <w:rPr>
          <w:rFonts w:ascii="Times New Roman" w:hAnsi="Times New Roman"/>
          <w:i/>
          <w:sz w:val="16"/>
        </w:rPr>
        <w:t>[3] Model, covariates, estimand, missing-data handling, and multiplicity control follow the SAP.</w:t>
      </w:r>
    </w:p>
    <w:p>
      <w:pPr>
        <w:spacing w:before="0" w:after="0"/>
      </w:pPr>
      <w:r>
        <w:rPr>
          <w:rFonts w:ascii="Times New Roman" w:hAnsi="Times New Roman"/>
          <w:i/>
          <w:sz w:val="16"/>
        </w:rPr>
        <w:t>[4] Abbreviations: ITT = intent-to-treat; LS = least squares; SE = standard error; CI = confidence interval; PRO = patient-reported outcome; EORTC = European Organisation for Research and Treatment of Cancer; QLQ-C30 = Quality of Life Questionnaire-Core 30; GHS = global health status; SD = standard deviation.</w:t>
      </w:r>
    </w:p>
    <w:p>
      <w:pPr>
        <w:spacing w:before="0" w:after="0"/>
      </w:pPr>
      <w:r>
        <w:rPr>
          <w:rFonts w:ascii="Times New Roman" w:hAnsi="Times New Roman"/>
          <w:i/>
          <w:sz w:val="16"/>
        </w:rPr>
        <w:t>[5] Statistical definitions: Model-based estimates, contrasts, confidence intervals, and p-values follow the model, covariate, missing-data, and multiplicity specifications in the SAP. Descriptive statistics are calculated from non-missing observations unless the SAP states otherwise.</w:t>
      </w:r>
    </w:p>
    <w:p>
      <w:pPr>
        <w:spacing w:before="0" w:after="0"/>
      </w:pPr>
      <w:r>
        <w:rPr>
          <w:rFonts w:ascii="Times New Roman" w:hAnsi="Times New Roman"/>
          <w:i/>
          <w:sz w:val="16"/>
        </w:rPr>
        <w:t>[6] Dataset: ADSL, ADPRO. Program: t_pro_summary.sas.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14.4.6  Summary of Pharmacodynamics — Soluble Biomarkers by Visit</w:t>
      </w:r>
      <w:r>
        <w:bookmarkStart w:id="0" w:name="T14.4.6"/>
        <w:bookmarkEnd w:id="0"/>
      </w:r>
    </w:p>
    <w:p>
      <w:pPr>
        <w:keepNext/>
        <w:spacing w:before="40" w:after="160"/>
      </w:pPr>
      <w:r>
        <w:rPr>
          <w:rFonts w:ascii="Times New Roman" w:hAnsi="Times New Roman"/>
          <w:i/>
          <w:sz w:val="18"/>
        </w:rPr>
        <w:t>Analysis Set: PD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Visit /</w:t>
            </w:r>
          </w:p>
          <w:p>
            <w:pPr>
              <w:spacing w:before="0" w:after="0"/>
              <w:jc w:val="left"/>
            </w:pPr>
            <w:r>
              <w:rPr>
                <w:rFonts w:ascii="Times New Roman" w:hAnsi="Times New Roman"/>
                <w:b/>
                <w:sz w:val="18"/>
              </w:rPr>
              <w:t>Biomarker / 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736"/>
          </w:tcPr>
          <w:p>
            <w:pPr>
              <w:spacing w:before="120" w:after="20" w:line="240" w:lineRule="exact"/>
              <w:jc w:val="left"/>
            </w:pPr>
            <w:r>
              <w:rPr>
                <w:rFonts w:ascii="Times New Roman" w:hAnsi="Times New Roman"/>
                <w:b/>
                <w:sz w:val="18"/>
              </w:rPr>
              <w:t>Baseline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 xml:space="preserve">      Soluble EGFR (pg/mL)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Geometric Mean (CV%)</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 xml:space="preserve">      Soluble cMet (ng/mL)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Geometric Mean (CV%)</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120" w:after="20" w:line="240" w:lineRule="exact"/>
              <w:jc w:val="left"/>
            </w:pPr>
            <w:r>
              <w:rPr>
                <w:rFonts w:ascii="Times New Roman" w:hAnsi="Times New Roman"/>
                <w:b/>
                <w:sz w:val="18"/>
              </w:rPr>
              <w:t>Protocol-Defined Post-Baseline Visit</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120" w:after="20" w:line="240" w:lineRule="exact"/>
              <w:jc w:val="left"/>
            </w:pPr>
            <w:r>
              <w:rPr>
                <w:rFonts w:ascii="Times New Roman" w:hAnsi="Times New Roman"/>
                <w:b/>
                <w:sz w:val="18"/>
              </w:rPr>
              <w:t xml:space="preserve">      Soluble EGFR (pg/mL)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Geometric Mean (CV%)</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Visits are the highest row hierarchy; biomarkers and descriptive statistics are nested beneath each visit.</w:t>
      </w:r>
    </w:p>
    <w:p>
      <w:pPr>
        <w:spacing w:before="0" w:after="0"/>
      </w:pPr>
      <w:r>
        <w:rPr>
          <w:rFonts w:ascii="Times New Roman" w:hAnsi="Times New Roman"/>
          <w:i/>
          <w:sz w:val="16"/>
        </w:rPr>
        <w:t>[3] Abbreviations: CV = coefficient of variation; EGFR = epidermal growth factor receptor; PD = pharmacodynamic.</w:t>
      </w:r>
    </w:p>
    <w:p>
      <w:pPr>
        <w:spacing w:before="0" w:after="0"/>
      </w:pPr>
      <w:r>
        <w:rPr>
          <w:rFonts w:ascii="Times New Roman" w:hAnsi="Times New Roman"/>
          <w:i/>
          <w:sz w:val="16"/>
        </w:rPr>
        <w:t>[4] Statistical definitions: Descriptive statistics are calculated from non-missing observations unless the SAP states otherwise.</w:t>
      </w:r>
    </w:p>
    <w:p>
      <w:pPr>
        <w:spacing w:before="0" w:after="0"/>
      </w:pPr>
      <w:r>
        <w:rPr>
          <w:rFonts w:ascii="Times New Roman" w:hAnsi="Times New Roman"/>
          <w:i/>
          <w:sz w:val="16"/>
        </w:rPr>
        <w:t>[5] Dataset: ADSL, ADPD. Program: t_pd_summary.sas.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14.4.7  Summary of Central Molecular Test Results and Gene Aberrations at Baseline</w:t>
      </w:r>
      <w:r>
        <w:bookmarkStart w:id="0" w:name="T14.4.7"/>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Full Analysis Set</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jc w:val="left"/>
            </w:pPr>
            <w:r>
              <w:rPr>
                <w:rFonts w:ascii="Times New Roman" w:hAnsi="Times New Roman"/>
                <w:b/>
                <w:sz w:val="18"/>
              </w:rPr>
              <w:t>Gene</w:t>
            </w:r>
          </w:p>
        </w:tc>
        <w:tc>
          <w:tcPr>
            <w:tcW w:type="dxa" w:w="2280"/>
            <w:shd w:fill="F2F2F2" w:val="clear"/>
            <w:tcBorders>
              <w:bottom w:val="single" w:sz="4" w:space="0" w:color="000000"/>
            </w:tcBorders>
          </w:tcPr>
          <w:p>
            <w:pPr>
              <w:jc w:val="center"/>
            </w:pPr>
            <w:r>
              <w:rPr>
                <w:rFonts w:ascii="Times New Roman" w:hAnsi="Times New Roman"/>
                <w:b/>
                <w:sz w:val="18"/>
              </w:rPr>
              <w:t>Alteration Type</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 n (%)</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 n (%)</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 n (%)</w:t>
            </w:r>
          </w:p>
        </w:tc>
      </w:tr>
      <w:tr>
        <w:tc>
          <w:tcPr>
            <w:tcW w:type="dxa" w:w="2280"/>
          </w:tcPr>
          <w:p>
            <w:pPr>
              <w:spacing w:before="20" w:after="20" w:line="240" w:lineRule="exact"/>
              <w:jc w:val="left"/>
            </w:pPr>
            <w:r>
              <w:rPr>
                <w:rFonts w:ascii="Times New Roman" w:hAnsi="Times New Roman"/>
                <w:b w:val="0"/>
                <w:sz w:val="18"/>
              </w:rPr>
              <w:t>Gene X</w:t>
            </w:r>
          </w:p>
        </w:tc>
        <w:tc>
          <w:tcPr>
            <w:tcW w:type="dxa" w:w="2280"/>
          </w:tcPr>
          <w:p>
            <w:pPr>
              <w:spacing w:before="20" w:after="20" w:line="240" w:lineRule="exact"/>
              <w:jc w:val="center"/>
            </w:pPr>
            <w:r>
              <w:rPr>
                <w:rFonts w:ascii="Times New Roman" w:hAnsi="Times New Roman"/>
                <w:b w:val="0"/>
                <w:sz w:val="18"/>
              </w:rPr>
              <w:t>Mutation</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Gene X</w:t>
            </w:r>
          </w:p>
        </w:tc>
        <w:tc>
          <w:tcPr>
            <w:tcW w:type="dxa" w:w="2280"/>
          </w:tcPr>
          <w:p>
            <w:pPr>
              <w:spacing w:before="20" w:after="20" w:line="240" w:lineRule="exact"/>
              <w:jc w:val="center"/>
            </w:pPr>
            <w:r>
              <w:rPr>
                <w:rFonts w:ascii="Times New Roman" w:hAnsi="Times New Roman"/>
                <w:b w:val="0"/>
                <w:sz w:val="18"/>
              </w:rPr>
              <w:t>Amplification</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Gene Y</w:t>
            </w:r>
          </w:p>
        </w:tc>
        <w:tc>
          <w:tcPr>
            <w:tcW w:type="dxa" w:w="2280"/>
          </w:tcPr>
          <w:p>
            <w:pPr>
              <w:spacing w:before="20" w:after="20" w:line="240" w:lineRule="exact"/>
              <w:jc w:val="center"/>
            </w:pPr>
            <w:r>
              <w:rPr>
                <w:rFonts w:ascii="Times New Roman" w:hAnsi="Times New Roman"/>
                <w:b w:val="0"/>
                <w:sz w:val="18"/>
              </w:rPr>
              <w:t>Mutation</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 (xx.x)</w:t>
            </w:r>
          </w:p>
        </w:tc>
      </w:tr>
      <w:tr>
        <w:tc>
          <w:tcPr>
            <w:tcW w:type="dxa" w:w="2280"/>
          </w:tcPr>
          <w:p>
            <w:pPr>
              <w:spacing w:before="20" w:after="20" w:line="240" w:lineRule="exact"/>
              <w:jc w:val="left"/>
            </w:pPr>
            <w:r>
              <w:rPr>
                <w:rFonts w:ascii="Times New Roman" w:hAnsi="Times New Roman"/>
                <w:b w:val="0"/>
                <w:sz w:val="18"/>
              </w:rPr>
              <w:t>[Additional rows omitted in master shell]</w:t>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c>
          <w:tcPr>
            <w:tcW w:type="dxa" w:w="2280"/>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Statistical definitions: Percentages use the stated analysis population within each treatment group unless otherwise specified.</w:t>
      </w:r>
    </w:p>
    <w:p>
      <w:pPr>
        <w:spacing w:before="0" w:after="0"/>
      </w:pPr>
      <w:r>
        <w:rPr>
          <w:rFonts w:ascii="Times New Roman" w:hAnsi="Times New Roman"/>
          <w:i/>
          <w:sz w:val="16"/>
        </w:rPr>
        <w:t>[3] Dataset: ADSL, ADBM. Program: t_gene_aberrations.sas.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14.4.8  ADA Titer Distribution by Visit — Negative, Low, Medium, High</w:t>
      </w:r>
      <w:r>
        <w:bookmarkStart w:id="0" w:name="T14.4.8"/>
        <w:bookmarkEnd w:id="0"/>
      </w:r>
    </w:p>
    <w:p>
      <w:pPr>
        <w:keepNext/>
        <w:spacing w:before="40" w:after="160"/>
      </w:pPr>
      <w:r>
        <w:rPr>
          <w:rFonts w:ascii="Times New Roman" w:hAnsi="Times New Roman"/>
          <w:i/>
          <w:sz w:val="18"/>
        </w:rPr>
        <w:t>Analysis Set: Safety Population with ADA Samples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Visit</w:t>
            </w:r>
          </w:p>
          <w:p>
            <w:pPr>
              <w:spacing w:before="0" w:after="0"/>
              <w:jc w:val="left"/>
            </w:pPr>
            <w:r>
              <w:rPr>
                <w:rFonts w:ascii="Times New Roman" w:hAnsi="Times New Roman"/>
                <w:b/>
                <w:sz w:val="18"/>
              </w:rPr>
              <w:t>ADA Titer Category</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736"/>
          </w:tcPr>
          <w:p>
            <w:pPr>
              <w:spacing w:before="120" w:after="20" w:line="240" w:lineRule="exact"/>
              <w:jc w:val="left"/>
            </w:pPr>
            <w:r>
              <w:rPr>
                <w:rFonts w:ascii="Times New Roman" w:hAnsi="Times New Roman"/>
                <w:b/>
                <w:sz w:val="18"/>
              </w:rPr>
              <w:t>Baseline</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ADA Negative</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Low Titer (1:&lt;xxx)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Medium Titer</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High Titer (&gt;=1:xxxx)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Post-Baseline (Any)</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ADA Negative</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Low Titer</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Medium Titer</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0" w:after="20" w:line="240" w:lineRule="exact"/>
              <w:jc w:val="left"/>
            </w:pPr>
            <w:r>
              <w:rPr>
                <w:rFonts w:ascii="Times New Roman" w:hAnsi="Times New Roman"/>
                <w:b w:val="0"/>
                <w:sz w:val="18"/>
              </w:rPr>
              <w:t xml:space="preserve">      High Titer</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 xml:space="preserve">  Treatment-Emergent ADA Positive</w:t>
            </w:r>
          </w:p>
        </w:tc>
        <w:tc>
          <w:tcPr>
            <w:tcW w:type="dxa" w:w="2736"/>
          </w:tcPr>
          <w:p>
            <w:pPr>
              <w:spacing w:before="120" w:after="20" w:line="240" w:lineRule="exact"/>
              <w:jc w:val="center"/>
            </w:pPr>
            <w:r>
              <w:rPr>
                <w:rFonts w:ascii="Times New Roman" w:hAnsi="Times New Roman"/>
                <w:b/>
                <w:sz w:val="18"/>
              </w:rPr>
              <w:t>xx/xx (xx.x)</w:t>
            </w:r>
          </w:p>
        </w:tc>
        <w:tc>
          <w:tcPr>
            <w:tcW w:type="dxa" w:w="2736"/>
          </w:tcPr>
          <w:p>
            <w:pPr>
              <w:spacing w:before="120" w:after="20" w:line="240" w:lineRule="exact"/>
              <w:jc w:val="center"/>
            </w:pPr>
            <w:r>
              <w:rPr>
                <w:rFonts w:ascii="Times New Roman" w:hAnsi="Times New Roman"/>
                <w:b/>
                <w:sz w:val="18"/>
              </w:rPr>
              <w:t>xx/xx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L16.2.16</w:t>
      </w:r>
    </w:p>
    <w:p>
      <w:pPr>
        <w:spacing w:before="0" w:after="0"/>
      </w:pPr>
      <w:r>
        <w:rPr>
          <w:rFonts w:ascii="Times New Roman" w:hAnsi="Times New Roman"/>
          <w:i/>
          <w:sz w:val="16"/>
        </w:rPr>
        <w:t>[2] ADA assessed by validated bridging immunoassay. Titer categories defined per assay validation report. Listing: L16.2.16.</w:t>
      </w:r>
    </w:p>
    <w:p>
      <w:pPr>
        <w:spacing w:before="0" w:after="0"/>
      </w:pPr>
      <w:r>
        <w:rPr>
          <w:rFonts w:ascii="Times New Roman" w:hAnsi="Times New Roman"/>
          <w:i/>
          <w:sz w:val="16"/>
        </w:rPr>
        <w:t>[3] Abbreviations: ADA = anti-drug antibody.</w:t>
      </w:r>
    </w:p>
    <w:p>
      <w:pPr>
        <w:spacing w:before="0" w:after="0"/>
      </w:pPr>
      <w:r>
        <w:rPr>
          <w:rFonts w:ascii="Times New Roman" w:hAnsi="Times New Roman"/>
          <w:i/>
          <w:sz w:val="16"/>
        </w:rPr>
        <w:t>[4] Statistical definitions: Percentages use subjects evaluable at the corresponding visit or cycle within each treatment group unless otherwise specified.</w:t>
      </w:r>
    </w:p>
    <w:p>
      <w:pPr>
        <w:spacing w:before="0" w:after="0"/>
      </w:pPr>
      <w:r>
        <w:rPr>
          <w:rFonts w:ascii="Times New Roman" w:hAnsi="Times New Roman"/>
          <w:i/>
          <w:sz w:val="16"/>
        </w:rPr>
        <w:t>[5] Dataset: ADSL, ADIS. Program: t_ada_titer.sas.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14.4.9  ADA Impact on Pharmacokinetics — Cmax and AUC in ADA+ vs. ADA- Subjects</w:t>
      </w:r>
      <w:r>
        <w:bookmarkStart w:id="0" w:name="T14.4.9"/>
        <w:bookmarkEnd w:id="0"/>
      </w:r>
    </w:p>
    <w:p>
      <w:pPr>
        <w:keepNext/>
        <w:spacing w:before="40" w:after="160"/>
      </w:pPr>
      <w:r>
        <w:rPr>
          <w:rFonts w:ascii="Times New Roman" w:hAnsi="Times New Roman"/>
          <w:i/>
          <w:sz w:val="18"/>
        </w:rPr>
        <w:t>Analysis Set: PK Population with ADA Data</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spacing w:before="0" w:after="0"/>
              <w:jc w:val="left"/>
            </w:pPr>
            <w:r>
              <w:rPr>
                <w:rFonts w:ascii="Times New Roman" w:hAnsi="Times New Roman"/>
                <w:b/>
                <w:sz w:val="18"/>
              </w:rPr>
              <w:t>PK Parameter</w:t>
            </w:r>
          </w:p>
          <w:p>
            <w:pPr>
              <w:spacing w:before="0" w:after="0"/>
              <w:jc w:val="left"/>
            </w:pPr>
            <w:r>
              <w:rPr>
                <w:rFonts w:ascii="Times New Roman" w:hAnsi="Times New Roman"/>
                <w:b/>
                <w:sz w:val="18"/>
              </w:rPr>
              <w:t>ADA Status</w:t>
            </w:r>
          </w:p>
        </w:tc>
        <w:tc>
          <w:tcPr>
            <w:tcW w:type="dxa" w:w="2736"/>
            <w:shd w:fill="F2F2F2" w:val="clear"/>
            <w:tcBorders>
              <w:bottom w:val="single" w:sz="4" w:space="0" w:color="000000"/>
            </w:tcBorders>
          </w:tcPr>
          <w:p>
            <w:pPr>
              <w:jc w:val="center"/>
            </w:pPr>
            <w:r>
              <w:rPr>
                <w:rFonts w:ascii="Times New Roman" w:hAnsi="Times New Roman"/>
                <w:b/>
                <w:sz w:val="18"/>
              </w:rPr>
              <w:t>Statistic</w:t>
            </w:r>
          </w:p>
        </w:tc>
        <w:tc>
          <w:tcPr>
            <w:tcW w:type="dxa" w:w="2736"/>
            <w:shd w:fill="F2F2F2" w:val="clear"/>
            <w:tcBorders>
              <w:bottom w:val="single" w:sz="4" w:space="0" w:color="000000"/>
            </w:tcBorders>
          </w:tcPr>
          <w:p>
            <w:pPr>
              <w:spacing w:before="0" w:after="0"/>
              <w:jc w:val="center"/>
            </w:pPr>
            <w:r>
              <w:rPr>
                <w:rFonts w:ascii="Times New Roman" w:hAnsi="Times New Roman"/>
                <w:b/>
                <w:sz w:val="18"/>
              </w:rPr>
              <w:t>ADA Positive</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ADA Negative</w:t>
            </w:r>
          </w:p>
          <w:p>
            <w:pPr>
              <w:spacing w:before="0" w:after="0"/>
              <w:jc w:val="center"/>
            </w:pPr>
            <w:r>
              <w:rPr>
                <w:rFonts w:ascii="Times New Roman" w:hAnsi="Times New Roman"/>
                <w:b/>
                <w:sz w:val="18"/>
              </w:rPr>
              <w:t>(N=XX)</w:t>
            </w:r>
          </w:p>
        </w:tc>
        <w:tc>
          <w:tcPr>
            <w:tcW w:type="dxa" w:w="2736"/>
            <w:shd w:fill="F2F2F2" w:val="clear"/>
            <w:tcBorders>
              <w:bottom w:val="single" w:sz="4" w:space="0" w:color="000000"/>
            </w:tcBorders>
          </w:tcPr>
          <w:p>
            <w:pPr>
              <w:spacing w:before="0" w:after="0"/>
              <w:jc w:val="center"/>
            </w:pPr>
            <w:r>
              <w:rPr>
                <w:rFonts w:ascii="Times New Roman" w:hAnsi="Times New Roman"/>
                <w:b/>
                <w:sz w:val="18"/>
              </w:rPr>
              <w:t>Ratio</w:t>
            </w:r>
          </w:p>
          <w:p>
            <w:pPr>
              <w:spacing w:before="0" w:after="0"/>
              <w:jc w:val="center"/>
            </w:pPr>
            <w:r>
              <w:rPr>
                <w:rFonts w:ascii="Times New Roman" w:hAnsi="Times New Roman"/>
                <w:b/>
                <w:sz w:val="18"/>
              </w:rPr>
              <w:t>(ADA+/ADA-)</w:t>
            </w:r>
          </w:p>
        </w:tc>
      </w:tr>
      <w:tr>
        <w:tc>
          <w:tcPr>
            <w:tcW w:type="dxa" w:w="2736"/>
          </w:tcPr>
          <w:p>
            <w:pPr>
              <w:spacing w:before="120" w:after="20" w:line="240" w:lineRule="exact"/>
              <w:jc w:val="left"/>
            </w:pPr>
            <w:r>
              <w:rPr>
                <w:rFonts w:ascii="Times New Roman" w:hAnsi="Times New Roman"/>
                <w:b/>
                <w:sz w:val="18"/>
              </w:rPr>
              <w:t>Cmax (ng/mL)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ADA Positive</w:t>
            </w:r>
          </w:p>
        </w:tc>
        <w:tc>
          <w:tcPr>
            <w:tcW w:type="dxa" w:w="2736"/>
          </w:tcPr>
          <w:p>
            <w:pPr>
              <w:spacing w:before="0" w:after="20" w:line="240" w:lineRule="exact"/>
              <w:jc w:val="center"/>
            </w:pPr>
            <w:r>
              <w:rPr>
                <w:rFonts w:ascii="Times New Roman" w:hAnsi="Times New Roman"/>
                <w:b w:val="0"/>
                <w:sz w:val="18"/>
              </w:rPr>
              <w:t>Geo Mean (CV%)</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ADA Negative</w:t>
            </w:r>
          </w:p>
        </w:tc>
        <w:tc>
          <w:tcPr>
            <w:tcW w:type="dxa" w:w="2736"/>
          </w:tcPr>
          <w:p>
            <w:pPr>
              <w:spacing w:before="0" w:after="20" w:line="240" w:lineRule="exact"/>
              <w:jc w:val="center"/>
            </w:pPr>
            <w:r>
              <w:rPr>
                <w:rFonts w:ascii="Times New Roman" w:hAnsi="Times New Roman"/>
                <w:b w:val="0"/>
                <w:sz w:val="18"/>
              </w:rPr>
              <w:t>Geo Mean (CV%)</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w:t>
            </w:r>
          </w:p>
        </w:tc>
        <w:tc>
          <w:tcPr>
            <w:tcW w:type="dxa" w:w="2736"/>
          </w:tcPr>
          <w:p>
            <w:pPr>
              <w:spacing w:before="0" w:after="20" w:line="240" w:lineRule="exact"/>
              <w:jc w:val="center"/>
            </w:pPr>
            <w:r>
              <w:rPr>
                <w:rFonts w:ascii="Times New Roman" w:hAnsi="Times New Roman"/>
                <w:b w:val="0"/>
                <w:sz w:val="18"/>
              </w:rPr>
              <w:t>Geometric Mean Ratio (90% CI)</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 (x.xx, x.xx)</w:t>
            </w:r>
          </w:p>
        </w:tc>
      </w:tr>
      <w:tr>
        <w:tc>
          <w:tcPr>
            <w:tcW w:type="dxa" w:w="2736"/>
          </w:tcPr>
          <w:p>
            <w:pPr>
              <w:spacing w:before="120" w:after="20" w:line="240" w:lineRule="exact"/>
              <w:jc w:val="left"/>
            </w:pPr>
            <w:r>
              <w:rPr>
                <w:rFonts w:ascii="Times New Roman" w:hAnsi="Times New Roman"/>
                <w:b/>
                <w:sz w:val="18"/>
              </w:rPr>
              <w:t>AUC0-tau (ng*h/mL)</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ADA Positive</w:t>
            </w:r>
          </w:p>
        </w:tc>
        <w:tc>
          <w:tcPr>
            <w:tcW w:type="dxa" w:w="2736"/>
          </w:tcPr>
          <w:p>
            <w:pPr>
              <w:spacing w:before="0" w:after="20" w:line="240" w:lineRule="exact"/>
              <w:jc w:val="center"/>
            </w:pPr>
            <w:r>
              <w:rPr>
                <w:rFonts w:ascii="Times New Roman" w:hAnsi="Times New Roman"/>
                <w:b w:val="0"/>
                <w:sz w:val="18"/>
              </w:rPr>
              <w:t>Geo Mean (CV%)</w:t>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ADA Negative</w:t>
            </w:r>
          </w:p>
        </w:tc>
        <w:tc>
          <w:tcPr>
            <w:tcW w:type="dxa" w:w="2736"/>
          </w:tcPr>
          <w:p>
            <w:pPr>
              <w:spacing w:before="0" w:after="20" w:line="240" w:lineRule="exact"/>
              <w:jc w:val="center"/>
            </w:pPr>
            <w:r>
              <w:rPr>
                <w:rFonts w:ascii="Times New Roman" w:hAnsi="Times New Roman"/>
                <w:b w:val="0"/>
                <w:sz w:val="18"/>
              </w:rPr>
              <w:t>Geo Mean (CV%)</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 (xx.x)</w:t>
            </w:r>
          </w:p>
        </w:tc>
        <w:tc>
          <w:tcPr>
            <w:tcW w:type="dxa" w:w="2736"/>
          </w:tcPr>
          <w:p>
            <w:pPr>
              <w:spacing w:before="0" w:after="20" w:line="240" w:lineRule="exact"/>
              <w:jc w:val="center"/>
            </w:pPr>
            <w:r>
              <w:rPr>
                <w:rFonts w:ascii="Times New Roman" w:hAnsi="Times New Roman"/>
                <w:b w:val="0"/>
                <w:sz w:val="18"/>
              </w:rPr>
            </w:r>
          </w:p>
        </w:tc>
      </w:tr>
      <w:tr>
        <w:tc>
          <w:tcPr>
            <w:tcW w:type="dxa" w:w="2736"/>
          </w:tcPr>
          <w:p>
            <w:pPr>
              <w:spacing w:before="0" w:after="20" w:line="240" w:lineRule="exact"/>
              <w:jc w:val="left"/>
            </w:pPr>
            <w:r>
              <w:rPr>
                <w:rFonts w:ascii="Times New Roman" w:hAnsi="Times New Roman"/>
                <w:b w:val="0"/>
                <w:sz w:val="18"/>
              </w:rPr>
              <w:t xml:space="preserve">    </w:t>
            </w:r>
          </w:p>
        </w:tc>
        <w:tc>
          <w:tcPr>
            <w:tcW w:type="dxa" w:w="2736"/>
          </w:tcPr>
          <w:p>
            <w:pPr>
              <w:spacing w:before="0" w:after="20" w:line="240" w:lineRule="exact"/>
              <w:jc w:val="center"/>
            </w:pPr>
            <w:r>
              <w:rPr>
                <w:rFonts w:ascii="Times New Roman" w:hAnsi="Times New Roman"/>
                <w:b w:val="0"/>
                <w:sz w:val="18"/>
              </w:rPr>
              <w:t>Geometric Mean Ratio (90% CI)</w:t>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r>
          </w:p>
        </w:tc>
        <w:tc>
          <w:tcPr>
            <w:tcW w:type="dxa" w:w="2736"/>
          </w:tcPr>
          <w:p>
            <w:pPr>
              <w:spacing w:before="0" w:after="20" w:line="240" w:lineRule="exact"/>
              <w:jc w:val="center"/>
            </w:pPr>
            <w:r>
              <w:rPr>
                <w:rFonts w:ascii="Times New Roman" w:hAnsi="Times New Roman"/>
                <w:b w:val="0"/>
                <w:sz w:val="18"/>
              </w:rPr>
              <w:t>x.xx (x.xx,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L16.2.16</w:t>
      </w:r>
    </w:p>
    <w:p>
      <w:pPr>
        <w:spacing w:before="0" w:after="0"/>
      </w:pPr>
      <w:r>
        <w:rPr>
          <w:rFonts w:ascii="Times New Roman" w:hAnsi="Times New Roman"/>
          <w:i/>
          <w:sz w:val="16"/>
        </w:rPr>
        <w:t>[2] ADA+ = treatment-emergent ADA positive. ADA- = ADA negative throughout. GMR = geometric mean ratio.</w:t>
      </w:r>
    </w:p>
    <w:p>
      <w:pPr>
        <w:spacing w:before="0" w:after="0"/>
      </w:pPr>
      <w:r>
        <w:rPr>
          <w:rFonts w:ascii="Times New Roman" w:hAnsi="Times New Roman"/>
          <w:i/>
          <w:sz w:val="16"/>
        </w:rPr>
        <w:t>[3] Abbreviations: GMR = geometric mean ratio; PK = pharmacokinetic; Cmax = maximum observed concentration; ADA = anti-drug antibody; AUC = area under the concentration-time curve.</w:t>
      </w:r>
    </w:p>
    <w:p>
      <w:pPr>
        <w:spacing w:before="0" w:after="0"/>
      </w:pPr>
      <w:r>
        <w:rPr>
          <w:rFonts w:ascii="Times New Roman" w:hAnsi="Times New Roman"/>
          <w:i/>
          <w:sz w:val="16"/>
        </w:rPr>
        <w:t>[4] Dataset: ADSL, ADIS, ADPP. Program: t_ada_pk_impact.sas.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14.4.10  Neutralizing Antibody (Nab) — Incidence, Titer, and Cross-Reactivity Status</w:t>
      </w:r>
      <w:r>
        <w:bookmarkStart w:id="0" w:name="T14.4.10"/>
        <w:bookmarkEnd w:id="0"/>
      </w:r>
    </w:p>
    <w:p>
      <w:pPr>
        <w:keepNext/>
        <w:spacing w:before="40" w:after="160"/>
      </w:pPr>
      <w:r>
        <w:rPr>
          <w:rFonts w:ascii="Times New Roman" w:hAnsi="Times New Roman"/>
          <w:i/>
          <w:sz w:val="18"/>
        </w:rPr>
        <w:t>Analysis Set: Safety Population with ADA Samples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shd w:fill="F2F2F2" w:val="clear"/>
            <w:tcBorders>
              <w:bottom w:val="single" w:sz="4" w:space="0" w:color="000000"/>
            </w:tcBorders>
          </w:tcPr>
          <w:p>
            <w:pPr>
              <w:jc w:val="left"/>
            </w:pPr>
            <w:r>
              <w:rPr>
                <w:rFonts w:ascii="Times New Roman" w:hAnsi="Times New Roman"/>
                <w:b/>
                <w:sz w:val="18"/>
              </w:rPr>
              <w:t>Nab Parameter</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n/N1 (%)</w:t>
            </w:r>
          </w:p>
        </w:tc>
        <w:tc>
          <w:tcPr>
            <w:tcW w:type="dxa" w:w="2736"/>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n/N2 (%)</w:t>
            </w:r>
          </w:p>
        </w:tc>
        <w:tc>
          <w:tcPr>
            <w:tcW w:type="dxa" w:w="2736"/>
            <w:shd w:fill="F2F2F2" w:val="clear"/>
            <w:tcBorders>
              <w:bottom w:val="single" w:sz="4" w:space="0" w:color="000000"/>
            </w:tcBorders>
          </w:tcPr>
          <w:p>
            <w:pPr>
              <w:jc w:val="center"/>
            </w:pPr>
            <w:r>
              <w:rPr>
                <w:rFonts w:ascii="Times New Roman" w:hAnsi="Times New Roman"/>
                <w:b/>
                <w:sz w:val="18"/>
              </w:rPr>
              <w:t>...</w:t>
            </w:r>
          </w:p>
        </w:tc>
        <w:tc>
          <w:tcPr>
            <w:tcW w:type="dxa" w:w="2736"/>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n/N (%)</w:t>
            </w:r>
          </w:p>
        </w:tc>
      </w:tr>
      <w:tr>
        <w:tc>
          <w:tcPr>
            <w:tcW w:type="dxa" w:w="2736"/>
          </w:tcPr>
          <w:p>
            <w:pPr>
              <w:spacing w:before="120" w:after="20" w:line="240" w:lineRule="exact"/>
              <w:jc w:val="left"/>
            </w:pPr>
            <w:r>
              <w:rPr>
                <w:rFonts w:ascii="Times New Roman" w:hAnsi="Times New Roman"/>
                <w:b/>
                <w:sz w:val="18"/>
              </w:rPr>
              <w:t>Nab Evaluable Subjects</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w:t>
            </w:r>
          </w:p>
        </w:tc>
      </w:tr>
      <w:tr>
        <w:tc>
          <w:tcPr>
            <w:tcW w:type="dxa" w:w="2736"/>
          </w:tcPr>
          <w:p>
            <w:pPr>
              <w:spacing w:before="20" w:after="20" w:line="240" w:lineRule="exact"/>
              <w:jc w:val="left"/>
            </w:pPr>
            <w:r>
              <w:rPr>
                <w:rFonts w:ascii="Times New Roman" w:hAnsi="Times New Roman"/>
                <w:b w:val="0"/>
                <w:sz w:val="18"/>
              </w:rPr>
              <w:t>Nab Positive, n (%)</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xx (xx.x)</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Among ADA Positive Subjects</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xx/xx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xx/xx (xx.x)</w:t>
            </w:r>
          </w:p>
        </w:tc>
      </w:tr>
      <w:tr>
        <w:tc>
          <w:tcPr>
            <w:tcW w:type="dxa" w:w="2736"/>
          </w:tcPr>
          <w:p>
            <w:pPr>
              <w:spacing w:before="120" w:after="20" w:line="240" w:lineRule="exact"/>
              <w:jc w:val="left"/>
            </w:pPr>
            <w:r>
              <w:rPr>
                <w:rFonts w:ascii="Times New Roman" w:hAnsi="Times New Roman"/>
                <w:b/>
                <w:sz w:val="18"/>
              </w:rPr>
              <w:t>Nab Titer Distribution</w:t>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c>
          <w:tcPr>
            <w:tcW w:type="dxa" w:w="2736"/>
          </w:tcPr>
          <w:p>
            <w:pPr>
              <w:spacing w:before="120" w:after="20" w:line="240" w:lineRule="exact"/>
              <w:jc w:val="center"/>
            </w:pPr>
            <w:r>
              <w:rPr>
                <w:rFonts w:ascii="Times New Roman" w:hAnsi="Times New Roman"/>
                <w:b/>
                <w:sz w:val="18"/>
              </w:rPr>
            </w:r>
          </w:p>
        </w:tc>
      </w:tr>
      <w:tr>
        <w:tc>
          <w:tcPr>
            <w:tcW w:type="dxa" w:w="2736"/>
          </w:tcPr>
          <w:p>
            <w:pPr>
              <w:spacing w:before="0" w:after="20" w:line="240" w:lineRule="exact"/>
              <w:jc w:val="left"/>
            </w:pPr>
            <w:r>
              <w:rPr>
                <w:rFonts w:ascii="Times New Roman" w:hAnsi="Times New Roman"/>
                <w:b w:val="0"/>
                <w:sz w:val="18"/>
              </w:rPr>
              <w:t xml:space="preserve">      Low (&lt;1:xx)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Medium (1:xx-1:xxx)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0" w:after="20" w:line="240" w:lineRule="exact"/>
              <w:jc w:val="left"/>
            </w:pPr>
            <w:r>
              <w:rPr>
                <w:rFonts w:ascii="Times New Roman" w:hAnsi="Times New Roman"/>
                <w:b w:val="0"/>
                <w:sz w:val="18"/>
              </w:rPr>
              <w:t xml:space="preserve">      High (&gt;=1:xxxx)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xx (xx.x)</w:t>
            </w:r>
          </w:p>
        </w:tc>
        <w:tc>
          <w:tcPr>
            <w:tcW w:type="dxa" w:w="2736"/>
          </w:tcPr>
          <w:p>
            <w:pPr>
              <w:spacing w:before="0" w:after="20" w:line="240" w:lineRule="exact"/>
              <w:jc w:val="center"/>
            </w:pPr>
            <w:r>
              <w:rPr>
                <w:rFonts w:ascii="Times New Roman" w:hAnsi="Times New Roman"/>
                <w:b w:val="0"/>
                <w:sz w:val="18"/>
              </w:rPr>
              <w:t>...</w:t>
            </w:r>
          </w:p>
        </w:tc>
        <w:tc>
          <w:tcPr>
            <w:tcW w:type="dxa" w:w="2736"/>
          </w:tcPr>
          <w:p>
            <w:pPr>
              <w:spacing w:before="0" w:after="20" w:line="240" w:lineRule="exact"/>
              <w:jc w:val="center"/>
            </w:pPr>
            <w:r>
              <w:rPr>
                <w:rFonts w:ascii="Times New Roman" w:hAnsi="Times New Roman"/>
                <w:b w:val="0"/>
                <w:sz w:val="18"/>
              </w:rPr>
              <w:t>xx (xx.x)</w:t>
            </w:r>
          </w:p>
        </w:tc>
      </w:tr>
      <w:tr>
        <w:tc>
          <w:tcPr>
            <w:tcW w:type="dxa" w:w="2736"/>
          </w:tcPr>
          <w:p>
            <w:pPr>
              <w:spacing w:before="120" w:after="20" w:line="240" w:lineRule="exact"/>
              <w:jc w:val="left"/>
            </w:pPr>
            <w:r>
              <w:rPr>
                <w:rFonts w:ascii="Times New Roman" w:hAnsi="Times New Roman"/>
                <w:b/>
                <w:sz w:val="18"/>
              </w:rPr>
              <w:t>Cross-Reactivity to Endogenous Protein</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xx (xx.x)</w:t>
            </w:r>
          </w:p>
        </w:tc>
        <w:tc>
          <w:tcPr>
            <w:tcW w:type="dxa" w:w="2736"/>
          </w:tcPr>
          <w:p>
            <w:pPr>
              <w:spacing w:before="120" w:after="20" w:line="240" w:lineRule="exact"/>
              <w:jc w:val="center"/>
            </w:pPr>
            <w:r>
              <w:rPr>
                <w:rFonts w:ascii="Times New Roman" w:hAnsi="Times New Roman"/>
                <w:b/>
                <w:sz w:val="18"/>
              </w:rPr>
              <w:t>...</w:t>
            </w:r>
          </w:p>
        </w:tc>
        <w:tc>
          <w:tcPr>
            <w:tcW w:type="dxa" w:w="2736"/>
          </w:tcPr>
          <w:p>
            <w:pPr>
              <w:spacing w:before="120" w:after="20" w:line="240" w:lineRule="exact"/>
              <w:jc w:val="center"/>
            </w:pPr>
            <w:r>
              <w:rPr>
                <w:rFonts w:ascii="Times New Roman" w:hAnsi="Times New Roman"/>
                <w:b/>
                <w:sz w:val="18"/>
              </w:rPr>
              <w:t>xx (xx.x)</w:t>
            </w:r>
          </w:p>
        </w:tc>
      </w:tr>
      <w:tr>
        <w:tc>
          <w:tcPr>
            <w:tcW w:type="dxa" w:w="2736"/>
          </w:tcPr>
          <w:p>
            <w:pPr>
              <w:spacing w:before="20" w:after="20" w:line="240" w:lineRule="exact"/>
              <w:jc w:val="left"/>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c>
          <w:tcPr>
            <w:tcW w:type="dxa" w:w="2736"/>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L16.2.16</w:t>
      </w:r>
    </w:p>
    <w:p>
      <w:pPr>
        <w:spacing w:before="0" w:after="0"/>
      </w:pPr>
      <w:r>
        <w:rPr>
          <w:rFonts w:ascii="Times New Roman" w:hAnsi="Times New Roman"/>
          <w:i/>
          <w:sz w:val="16"/>
        </w:rPr>
        <w:t>[2] Nab = neutralizing antibody. N1/N2 = number of ADA-evaluable subjects. Cross-reactivity assessed by competitive ligand-binding assay.</w:t>
      </w:r>
    </w:p>
    <w:p>
      <w:pPr>
        <w:spacing w:before="0" w:after="0"/>
      </w:pPr>
      <w:r>
        <w:rPr>
          <w:rFonts w:ascii="Times New Roman" w:hAnsi="Times New Roman"/>
          <w:i/>
          <w:sz w:val="16"/>
        </w:rPr>
        <w:t>[3] Abbreviations: ADA = anti-drug antibody; NAb = neutralizing antibody.</w:t>
      </w:r>
    </w:p>
    <w:p>
      <w:pPr>
        <w:spacing w:before="0" w:after="0"/>
      </w:pPr>
      <w:r>
        <w:rPr>
          <w:rFonts w:ascii="Times New Roman" w:hAnsi="Times New Roman"/>
          <w:i/>
          <w:sz w:val="16"/>
        </w:rPr>
        <w:t>[4] Statistical definitions: Percentages use the stated analysis population within each treatment group unless otherwise specified.</w:t>
      </w:r>
    </w:p>
    <w:p>
      <w:pPr>
        <w:spacing w:before="0" w:after="0"/>
      </w:pPr>
      <w:r>
        <w:rPr>
          <w:rFonts w:ascii="Times New Roman" w:hAnsi="Times New Roman"/>
          <w:i/>
          <w:sz w:val="16"/>
        </w:rPr>
        <w:t>[5] Dataset: ADSL, ADIS. Program: t_nab_detail.sas.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14.4.11  Soluble Pharmacodynamic Biomarker Change from Baseline Over Time</w:t>
      </w:r>
      <w:r>
        <w:bookmarkStart w:id="0" w:name="T14.4.11"/>
        <w:bookmarkEnd w:id="0"/>
      </w:r>
    </w:p>
    <w:p>
      <w:pPr>
        <w:keepNext/>
        <w:spacing w:before="40" w:after="160"/>
      </w:pPr>
      <w:r>
        <w:rPr>
          <w:rFonts w:ascii="Times New Roman" w:hAnsi="Times New Roman"/>
          <w:i/>
          <w:sz w:val="18"/>
        </w:rPr>
        <w:t>Analysis Set: PD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Biomarker</w:t>
            </w:r>
          </w:p>
          <w:p>
            <w:pPr>
              <w:spacing w:before="0" w:after="0"/>
              <w:jc w:val="left"/>
            </w:pPr>
            <w:r>
              <w:rPr>
                <w:rFonts w:ascii="Times New Roman" w:hAnsi="Times New Roman"/>
                <w:b/>
                <w:sz w:val="18"/>
              </w:rPr>
              <w:t>Visit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Soluble Target X (ng/mL)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Cycle 1 Day 8</w:t>
            </w:r>
          </w:p>
        </w:tc>
        <w:tc>
          <w:tcPr>
            <w:tcW w:type="dxa" w:w="2280"/>
          </w:tcPr>
          <w:p>
            <w:pPr>
              <w:spacing w:before="0" w:after="20" w:line="240" w:lineRule="exact"/>
              <w:jc w:val="center"/>
            </w:pPr>
            <w:r>
              <w:rPr>
                <w:rFonts w:ascii="Times New Roman" w:hAnsi="Times New Roman"/>
                <w:b w:val="0"/>
                <w:sz w:val="18"/>
              </w:rPr>
              <w:t>Fold Chg from BL</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w:t>
            </w:r>
          </w:p>
        </w:tc>
      </w:tr>
      <w:tr>
        <w:tc>
          <w:tcPr>
            <w:tcW w:type="dxa" w:w="2280"/>
          </w:tcPr>
          <w:p>
            <w:pPr>
              <w:spacing w:before="0" w:after="20" w:line="240" w:lineRule="exact"/>
              <w:jc w:val="left"/>
            </w:pPr>
            <w:r>
              <w:rPr>
                <w:rFonts w:ascii="Times New Roman" w:hAnsi="Times New Roman"/>
                <w:b w:val="0"/>
                <w:sz w:val="18"/>
              </w:rPr>
              <w:t xml:space="preserve">    Cycle 2 Day 1</w:t>
            </w:r>
          </w:p>
        </w:tc>
        <w:tc>
          <w:tcPr>
            <w:tcW w:type="dxa" w:w="2280"/>
          </w:tcPr>
          <w:p>
            <w:pPr>
              <w:spacing w:before="0" w:after="20" w:line="240" w:lineRule="exact"/>
              <w:jc w:val="center"/>
            </w:pPr>
            <w:r>
              <w:rPr>
                <w:rFonts w:ascii="Times New Roman" w:hAnsi="Times New Roman"/>
                <w:b w:val="0"/>
                <w:sz w:val="18"/>
              </w:rPr>
              <w:t>Fold Chg from BL</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w:t>
            </w:r>
          </w:p>
        </w:tc>
      </w:tr>
      <w:tr>
        <w:tc>
          <w:tcPr>
            <w:tcW w:type="dxa" w:w="2280"/>
          </w:tcPr>
          <w:p>
            <w:pPr>
              <w:spacing w:before="0" w:after="20" w:line="240" w:lineRule="exact"/>
              <w:jc w:val="left"/>
            </w:pPr>
            <w:r>
              <w:rPr>
                <w:rFonts w:ascii="Times New Roman" w:hAnsi="Times New Roman"/>
                <w:b w:val="0"/>
                <w:sz w:val="18"/>
              </w:rPr>
              <w:t xml:space="preserve">    End of Treatment</w:t>
            </w:r>
          </w:p>
        </w:tc>
        <w:tc>
          <w:tcPr>
            <w:tcW w:type="dxa" w:w="2280"/>
          </w:tcPr>
          <w:p>
            <w:pPr>
              <w:spacing w:before="0" w:after="20" w:line="240" w:lineRule="exact"/>
              <w:jc w:val="center"/>
            </w:pPr>
            <w:r>
              <w:rPr>
                <w:rFonts w:ascii="Times New Roman" w:hAnsi="Times New Roman"/>
                <w:b w:val="0"/>
                <w:sz w:val="18"/>
              </w:rPr>
              <w:t>Fold Chg from BL</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w:t>
            </w:r>
          </w:p>
        </w:tc>
      </w:tr>
      <w:tr>
        <w:tc>
          <w:tcPr>
            <w:tcW w:type="dxa" w:w="2280"/>
          </w:tcPr>
          <w:p>
            <w:pPr>
              <w:spacing w:before="120" w:after="20" w:line="240" w:lineRule="exact"/>
              <w:jc w:val="left"/>
            </w:pPr>
            <w:r>
              <w:rPr>
                <w:rFonts w:ascii="Times New Roman" w:hAnsi="Times New Roman"/>
                <w:b/>
                <w:sz w:val="18"/>
              </w:rPr>
              <w:t>Soluble Biomarker Y (pg/mL)</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Baseline</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Cycle 2 Day 1</w:t>
            </w:r>
          </w:p>
        </w:tc>
        <w:tc>
          <w:tcPr>
            <w:tcW w:type="dxa" w:w="2280"/>
          </w:tcPr>
          <w:p>
            <w:pPr>
              <w:spacing w:before="0" w:after="20" w:line="240" w:lineRule="exact"/>
              <w:jc w:val="center"/>
            </w:pPr>
            <w:r>
              <w:rPr>
                <w:rFonts w:ascii="Times New Roman" w:hAnsi="Times New Roman"/>
                <w:b w:val="0"/>
                <w:sz w:val="18"/>
              </w:rPr>
              <w:t>Fold Chg from BL</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PD biomarkers assessed by validated assays. Fold change = post-baseline / baseline.</w:t>
      </w:r>
    </w:p>
    <w:p>
      <w:pPr>
        <w:spacing w:before="0" w:after="0"/>
      </w:pPr>
      <w:r>
        <w:rPr>
          <w:rFonts w:ascii="Times New Roman" w:hAnsi="Times New Roman"/>
          <w:i/>
          <w:sz w:val="16"/>
        </w:rPr>
        <w:t>[3] Abbreviations: PD = pharmacodynamic.</w:t>
      </w:r>
    </w:p>
    <w:p>
      <w:pPr>
        <w:spacing w:before="0" w:after="0"/>
      </w:pPr>
      <w:r>
        <w:rPr>
          <w:rFonts w:ascii="Times New Roman" w:hAnsi="Times New Roman"/>
          <w:i/>
          <w:sz w:val="16"/>
        </w:rPr>
        <w:t>[4] Dataset: ADSL, ADBM. Program: t_pd_bio_chg.sas.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14.4.12  Trough PK Concentration (Ctrough) by Cycle — Target Attainment</w:t>
      </w:r>
      <w:r>
        <w:bookmarkStart w:id="0" w:name="T14.4.12"/>
        <w:bookmarkEnd w:id="0"/>
      </w:r>
    </w:p>
    <w:p>
      <w:pPr>
        <w:keepNext/>
        <w:spacing w:before="40" w:after="160"/>
      </w:pPr>
      <w:r>
        <w:rPr>
          <w:rFonts w:ascii="Times New Roman" w:hAnsi="Times New Roman"/>
          <w:i/>
          <w:sz w:val="18"/>
        </w:rPr>
        <w:t>Analysis Set: PK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Cycle</w:t>
            </w:r>
          </w:p>
          <w:p>
            <w:pPr>
              <w:spacing w:before="0" w:after="0"/>
              <w:jc w:val="left"/>
            </w:pPr>
            <w:r>
              <w:rPr>
                <w:rFonts w:ascii="Times New Roman" w:hAnsi="Times New Roman"/>
                <w:b/>
                <w:sz w:val="18"/>
              </w:rPr>
              <w:t>Day</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20" w:after="20" w:line="240" w:lineRule="exact"/>
              <w:jc w:val="left"/>
            </w:pPr>
            <w:r>
              <w:rPr>
                <w:rFonts w:ascii="Times New Roman" w:hAnsi="Times New Roman"/>
                <w:b w:val="0"/>
                <w:sz w:val="18"/>
              </w:rPr>
              <w:t>Cycle 1 Day 15</w:t>
            </w:r>
          </w:p>
        </w:tc>
        <w:tc>
          <w:tcPr>
            <w:tcW w:type="dxa" w:w="2280"/>
          </w:tcPr>
          <w:p>
            <w:pPr>
              <w:spacing w:before="20" w:after="20" w:line="240" w:lineRule="exact"/>
              <w:jc w:val="center"/>
            </w:pPr>
            <w:r>
              <w:rPr>
                <w:rFonts w:ascii="Times New Roman" w:hAnsi="Times New Roman"/>
                <w:b w:val="0"/>
                <w:sz w:val="18"/>
              </w:rPr>
              <w:t>Mean (SD), ng/mL</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Cycle 2 Day 1</w:t>
            </w:r>
          </w:p>
        </w:tc>
        <w:tc>
          <w:tcPr>
            <w:tcW w:type="dxa" w:w="2280"/>
          </w:tcPr>
          <w:p>
            <w:pPr>
              <w:spacing w:before="20" w:after="20" w:line="240" w:lineRule="exact"/>
              <w:jc w:val="center"/>
            </w:pPr>
            <w:r>
              <w:rPr>
                <w:rFonts w:ascii="Times New Roman" w:hAnsi="Times New Roman"/>
                <w:b w:val="0"/>
                <w:sz w:val="18"/>
              </w:rPr>
              <w:t>Mean (SD), ng/mL</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Cycle 3 Day 1</w:t>
            </w:r>
          </w:p>
        </w:tc>
        <w:tc>
          <w:tcPr>
            <w:tcW w:type="dxa" w:w="2280"/>
          </w:tcPr>
          <w:p>
            <w:pPr>
              <w:spacing w:before="20" w:after="20" w:line="240" w:lineRule="exact"/>
              <w:jc w:val="center"/>
            </w:pPr>
            <w:r>
              <w:rPr>
                <w:rFonts w:ascii="Times New Roman" w:hAnsi="Times New Roman"/>
                <w:b w:val="0"/>
                <w:sz w:val="18"/>
              </w:rPr>
              <w:t>Mean (SD), ng/mL</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Cycle 4 Day 1</w:t>
            </w:r>
          </w:p>
        </w:tc>
        <w:tc>
          <w:tcPr>
            <w:tcW w:type="dxa" w:w="2280"/>
          </w:tcPr>
          <w:p>
            <w:pPr>
              <w:spacing w:before="20" w:after="20" w:line="240" w:lineRule="exact"/>
              <w:jc w:val="center"/>
            </w:pPr>
            <w:r>
              <w:rPr>
                <w:rFonts w:ascii="Times New Roman" w:hAnsi="Times New Roman"/>
                <w:b w:val="0"/>
                <w:sz w:val="18"/>
              </w:rPr>
              <w:t>Mean (SD), ng/mL</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20" w:after="20" w:line="240" w:lineRule="exact"/>
              <w:jc w:val="left"/>
            </w:pPr>
            <w:r>
              <w:rPr>
                <w:rFonts w:ascii="Times New Roman" w:hAnsi="Times New Roman"/>
                <w:b w:val="0"/>
                <w:sz w:val="18"/>
              </w:rPr>
              <w:t>Cycle 6 Day 1</w:t>
            </w:r>
          </w:p>
        </w:tc>
        <w:tc>
          <w:tcPr>
            <w:tcW w:type="dxa" w:w="2280"/>
          </w:tcPr>
          <w:p>
            <w:pPr>
              <w:spacing w:before="20" w:after="20" w:line="240" w:lineRule="exact"/>
              <w:jc w:val="center"/>
            </w:pPr>
            <w:r>
              <w:rPr>
                <w:rFonts w:ascii="Times New Roman" w:hAnsi="Times New Roman"/>
                <w:b w:val="0"/>
                <w:sz w:val="18"/>
              </w:rPr>
              <w:t>Mean (SD), ng/mL</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xx.x (xx.x)</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Ctrough Above Target Threshold</w:t>
            </w:r>
          </w:p>
        </w:tc>
        <w:tc>
          <w:tcPr>
            <w:tcW w:type="dxa" w:w="2280"/>
          </w:tcPr>
          <w:p>
            <w:pPr>
              <w:spacing w:before="120" w:after="20" w:line="240" w:lineRule="exact"/>
              <w:jc w:val="center"/>
            </w:pPr>
            <w:r>
              <w:rPr>
                <w:rFonts w:ascii="Times New Roman" w:hAnsi="Times New Roman"/>
                <w:b/>
                <w:sz w:val="18"/>
              </w:rPr>
              <w:t>n (%)</w:t>
            </w:r>
          </w:p>
        </w:tc>
        <w:tc>
          <w:tcPr>
            <w:tcW w:type="dxa" w:w="2280"/>
          </w:tcPr>
          <w:p>
            <w:pPr>
              <w:spacing w:before="120" w:after="20" w:line="240" w:lineRule="exact"/>
              <w:jc w:val="center"/>
            </w:pPr>
            <w:r>
              <w:rPr>
                <w:rFonts w:ascii="Times New Roman" w:hAnsi="Times New Roman"/>
                <w:b/>
                <w:sz w:val="18"/>
              </w:rPr>
              <w:t>xx (xx.x)</w:t>
            </w:r>
          </w:p>
        </w:tc>
        <w:tc>
          <w:tcPr>
            <w:tcW w:type="dxa" w:w="2280"/>
          </w:tcPr>
          <w:p>
            <w:pPr>
              <w:spacing w:before="120" w:after="20" w:line="240" w:lineRule="exact"/>
              <w:jc w:val="center"/>
            </w:pPr>
            <w:r>
              <w:rPr>
                <w:rFonts w:ascii="Times New Roman" w:hAnsi="Times New Roman"/>
                <w:b/>
                <w:sz w:val="18"/>
              </w:rPr>
              <w:t>xx (xx.x)</w:t>
            </w:r>
          </w:p>
        </w:tc>
        <w:tc>
          <w:tcPr>
            <w:tcW w:type="dxa" w:w="2280"/>
          </w:tcPr>
          <w:p>
            <w:pPr>
              <w:spacing w:before="120" w:after="20" w:line="240" w:lineRule="exact"/>
              <w:jc w:val="center"/>
            </w:pPr>
            <w:r>
              <w:rPr>
                <w:rFonts w:ascii="Times New Roman" w:hAnsi="Times New Roman"/>
                <w:b/>
                <w:sz w:val="18"/>
              </w:rPr>
              <w:t>...</w:t>
            </w:r>
          </w:p>
        </w:tc>
        <w:tc>
          <w:tcPr>
            <w:tcW w:type="dxa" w:w="2280"/>
          </w:tcPr>
          <w:p>
            <w:pPr>
              <w:spacing w:before="120" w:after="20" w:line="240" w:lineRule="exact"/>
              <w:jc w:val="center"/>
            </w:pPr>
            <w:r>
              <w:rPr>
                <w:rFonts w:ascii="Times New Roman" w:hAnsi="Times New Roman"/>
                <w:b/>
                <w:sz w:val="18"/>
              </w:rPr>
              <w:t>xx (xx.x)</w:t>
            </w:r>
          </w:p>
        </w:tc>
      </w:tr>
      <w:tr>
        <w:tc>
          <w:tcPr>
            <w:tcW w:type="dxa" w:w="2280"/>
          </w:tcPr>
          <w:p>
            <w:pPr>
              <w:spacing w:before="20" w:after="20" w:line="240" w:lineRule="exact"/>
              <w:jc w:val="left"/>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c>
          <w:tcPr>
            <w:tcW w:type="dxa" w:w="2280"/>
          </w:tcPr>
          <w:p>
            <w:pPr>
              <w:spacing w:before="20" w:after="20" w:line="240" w:lineRule="exact"/>
              <w:jc w:val="center"/>
            </w:pPr>
            <w:r>
              <w:rPr>
                <w:rFonts w:ascii="Times New Roman" w:hAnsi="Times New Roman"/>
                <w:b w:val="0"/>
                <w:sz w:val="18"/>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L16.2.14</w:t>
      </w:r>
    </w:p>
    <w:p>
      <w:pPr>
        <w:spacing w:before="0" w:after="0"/>
      </w:pPr>
      <w:r>
        <w:rPr>
          <w:rFonts w:ascii="Times New Roman" w:hAnsi="Times New Roman"/>
          <w:i/>
          <w:sz w:val="16"/>
        </w:rPr>
        <w:t>[2] Ctrough = pre-dose concentration. Target threshold per PK/PD modeling. Listing: L16.2.14.</w:t>
      </w:r>
    </w:p>
    <w:p>
      <w:pPr>
        <w:spacing w:before="0" w:after="0"/>
      </w:pPr>
      <w:r>
        <w:rPr>
          <w:rFonts w:ascii="Times New Roman" w:hAnsi="Times New Roman"/>
          <w:i/>
          <w:sz w:val="16"/>
        </w:rPr>
        <w:t>[3] Abbreviations: PK = pharmacokinetic; Ctrough = trough concentration; PD = pharmacodynamic.</w:t>
      </w:r>
    </w:p>
    <w:p>
      <w:pPr>
        <w:spacing w:before="0" w:after="0"/>
      </w:pPr>
      <w:r>
        <w:rPr>
          <w:rFonts w:ascii="Times New Roman" w:hAnsi="Times New Roman"/>
          <w:i/>
          <w:sz w:val="16"/>
        </w:rPr>
        <w:t>[4] Dataset: ADSL, ADPC. Program: t_ctrough.sas.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14.4.13  Steady-State Attainment — Trough Concentrations Across Dosing Cycles (ANOVA)</w:t>
      </w:r>
      <w:r>
        <w:bookmarkStart w:id="0" w:name="T14.4.13"/>
        <w:bookmarkEnd w:id="0"/>
      </w:r>
    </w:p>
    <w:p>
      <w:pPr>
        <w:keepNext/>
        <w:spacing w:before="40" w:after="160"/>
      </w:pPr>
      <w:r>
        <w:rPr>
          <w:rFonts w:ascii="Times New Roman" w:hAnsi="Times New Roman"/>
          <w:i/>
          <w:sz w:val="18"/>
        </w:rPr>
        <w:t>Analysis Set: PK Population</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3420"/>
        <w:gridCol w:w="3420"/>
        <w:gridCol w:w="3420"/>
        <w:gridCol w:w="3420"/>
      </w:tblGrid>
      <w:tr>
        <w:trPr>
          <w:tblHeader w:val="true"/>
        </w:trPr>
        <w:tc>
          <w:tcPr>
            <w:tcW w:type="dxa" w:w="3420"/>
            <w:shd w:fill="F2F2F2" w:val="clear"/>
            <w:tcBorders>
              <w:bottom w:val="single" w:sz="4" w:space="0" w:color="000000"/>
            </w:tcBorders>
          </w:tcPr>
          <w:p>
            <w:pPr>
              <w:jc w:val="left"/>
            </w:pPr>
            <w:r>
              <w:rPr>
                <w:rFonts w:ascii="Times New Roman" w:hAnsi="Times New Roman"/>
                <w:b/>
                <w:sz w:val="18"/>
              </w:rPr>
              <w:t>Cycle Comparison</w:t>
            </w:r>
          </w:p>
        </w:tc>
        <w:tc>
          <w:tcPr>
            <w:tcW w:type="dxa" w:w="3420"/>
            <w:shd w:fill="F2F2F2" w:val="clear"/>
            <w:tcBorders>
              <w:bottom w:val="single" w:sz="4" w:space="0" w:color="000000"/>
            </w:tcBorders>
          </w:tcPr>
          <w:p>
            <w:pPr>
              <w:jc w:val="center"/>
            </w:pPr>
            <w:r>
              <w:rPr>
                <w:rFonts w:ascii="Times New Roman" w:hAnsi="Times New Roman"/>
                <w:b/>
                <w:sz w:val="18"/>
              </w:rPr>
              <w:t>GMR (90% CI)</w:t>
            </w:r>
          </w:p>
        </w:tc>
        <w:tc>
          <w:tcPr>
            <w:tcW w:type="dxa" w:w="3420"/>
            <w:shd w:fill="F2F2F2" w:val="clear"/>
            <w:tcBorders>
              <w:bottom w:val="single" w:sz="4" w:space="0" w:color="000000"/>
            </w:tcBorders>
          </w:tcPr>
          <w:p>
            <w:pPr>
              <w:jc w:val="center"/>
            </w:pPr>
            <w:r>
              <w:rPr>
                <w:rFonts w:ascii="Times New Roman" w:hAnsi="Times New Roman"/>
                <w:b/>
                <w:sz w:val="18"/>
              </w:rPr>
              <w:t>CV%</w:t>
            </w:r>
          </w:p>
        </w:tc>
        <w:tc>
          <w:tcPr>
            <w:tcW w:type="dxa" w:w="3420"/>
            <w:shd w:fill="F2F2F2" w:val="clear"/>
            <w:tcBorders>
              <w:bottom w:val="single" w:sz="4" w:space="0" w:color="000000"/>
            </w:tcBorders>
          </w:tcPr>
          <w:p>
            <w:pPr>
              <w:jc w:val="center"/>
            </w:pPr>
            <w:r>
              <w:rPr>
                <w:rFonts w:ascii="Times New Roman" w:hAnsi="Times New Roman"/>
                <w:b/>
                <w:sz w:val="18"/>
              </w:rPr>
              <w:t>Conclusion</w:t>
            </w:r>
          </w:p>
        </w:tc>
      </w:tr>
      <w:tr>
        <w:tc>
          <w:tcPr>
            <w:tcW w:type="dxa" w:w="3420"/>
          </w:tcPr>
          <w:p>
            <w:pPr>
              <w:spacing w:before="20" w:after="20" w:line="240" w:lineRule="exact"/>
              <w:jc w:val="left"/>
            </w:pPr>
            <w:r>
              <w:rPr>
                <w:rFonts w:ascii="Times New Roman" w:hAnsi="Times New Roman"/>
                <w:b w:val="0"/>
                <w:sz w:val="18"/>
              </w:rPr>
              <w:t>Cycle 2 vs. Cycle 1 Ctrough</w:t>
            </w:r>
          </w:p>
        </w:tc>
        <w:tc>
          <w:tcPr>
            <w:tcW w:type="dxa" w:w="3420"/>
          </w:tcPr>
          <w:p>
            <w:pPr>
              <w:spacing w:before="20" w:after="20" w:line="240" w:lineRule="exact"/>
              <w:jc w:val="center"/>
            </w:pPr>
            <w:r>
              <w:rPr>
                <w:rFonts w:ascii="Times New Roman" w:hAnsi="Times New Roman"/>
                <w:b w:val="0"/>
                <w:sz w:val="18"/>
              </w:rPr>
              <w:t>x.xx (x.xx, x.xx)</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Steady state / Not yet</w:t>
            </w:r>
          </w:p>
        </w:tc>
      </w:tr>
      <w:tr>
        <w:tc>
          <w:tcPr>
            <w:tcW w:type="dxa" w:w="3420"/>
          </w:tcPr>
          <w:p>
            <w:pPr>
              <w:spacing w:before="20" w:after="20" w:line="240" w:lineRule="exact"/>
              <w:jc w:val="left"/>
            </w:pPr>
            <w:r>
              <w:rPr>
                <w:rFonts w:ascii="Times New Roman" w:hAnsi="Times New Roman"/>
                <w:b w:val="0"/>
                <w:sz w:val="18"/>
              </w:rPr>
              <w:t>Cycle 3 vs. Cycle 2 Ctrough</w:t>
            </w:r>
          </w:p>
        </w:tc>
        <w:tc>
          <w:tcPr>
            <w:tcW w:type="dxa" w:w="3420"/>
          </w:tcPr>
          <w:p>
            <w:pPr>
              <w:spacing w:before="20" w:after="20" w:line="240" w:lineRule="exact"/>
              <w:jc w:val="center"/>
            </w:pPr>
            <w:r>
              <w:rPr>
                <w:rFonts w:ascii="Times New Roman" w:hAnsi="Times New Roman"/>
                <w:b w:val="0"/>
                <w:sz w:val="18"/>
              </w:rPr>
              <w:t>x.xx (x.xx, x.xx)</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Steady state / Not yet</w:t>
            </w:r>
          </w:p>
        </w:tc>
      </w:tr>
      <w:tr>
        <w:tc>
          <w:tcPr>
            <w:tcW w:type="dxa" w:w="3420"/>
          </w:tcPr>
          <w:p>
            <w:pPr>
              <w:spacing w:before="20" w:after="20" w:line="240" w:lineRule="exact"/>
              <w:jc w:val="left"/>
            </w:pPr>
            <w:r>
              <w:rPr>
                <w:rFonts w:ascii="Times New Roman" w:hAnsi="Times New Roman"/>
                <w:b w:val="0"/>
                <w:sz w:val="18"/>
              </w:rPr>
              <w:t>Cycle 4 vs. Cycle 3 Ctrough</w:t>
            </w:r>
          </w:p>
        </w:tc>
        <w:tc>
          <w:tcPr>
            <w:tcW w:type="dxa" w:w="3420"/>
          </w:tcPr>
          <w:p>
            <w:pPr>
              <w:spacing w:before="20" w:after="20" w:line="240" w:lineRule="exact"/>
              <w:jc w:val="center"/>
            </w:pPr>
            <w:r>
              <w:rPr>
                <w:rFonts w:ascii="Times New Roman" w:hAnsi="Times New Roman"/>
                <w:b w:val="0"/>
                <w:sz w:val="18"/>
              </w:rPr>
              <w:t>x.xx (x.xx, x.xx)</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Steady state achieved</w:t>
            </w:r>
          </w:p>
        </w:tc>
      </w:tr>
      <w:tr>
        <w:tc>
          <w:tcPr>
            <w:tcW w:type="dxa" w:w="3420"/>
          </w:tcPr>
          <w:p>
            <w:pPr>
              <w:spacing w:before="20" w:after="20" w:line="240" w:lineRule="exact"/>
              <w:jc w:val="left"/>
            </w:pPr>
            <w:r>
              <w:rPr>
                <w:rFonts w:ascii="Times New Roman" w:hAnsi="Times New Roman"/>
                <w:b w:val="0"/>
                <w:sz w:val="18"/>
              </w:rPr>
              <w:t>Cycle 6 vs. Cycle 4 Ctrough</w:t>
            </w:r>
          </w:p>
        </w:tc>
        <w:tc>
          <w:tcPr>
            <w:tcW w:type="dxa" w:w="3420"/>
          </w:tcPr>
          <w:p>
            <w:pPr>
              <w:spacing w:before="20" w:after="20" w:line="240" w:lineRule="exact"/>
              <w:jc w:val="center"/>
            </w:pPr>
            <w:r>
              <w:rPr>
                <w:rFonts w:ascii="Times New Roman" w:hAnsi="Times New Roman"/>
                <w:b w:val="0"/>
                <w:sz w:val="18"/>
              </w:rPr>
              <w:t>x.xx (x.xx, x.xx)</w:t>
            </w:r>
          </w:p>
        </w:tc>
        <w:tc>
          <w:tcPr>
            <w:tcW w:type="dxa" w:w="3420"/>
          </w:tcPr>
          <w:p>
            <w:pPr>
              <w:spacing w:before="20" w:after="20" w:line="240" w:lineRule="exact"/>
              <w:jc w:val="center"/>
            </w:pPr>
            <w:r>
              <w:rPr>
                <w:rFonts w:ascii="Times New Roman" w:hAnsi="Times New Roman"/>
                <w:b w:val="0"/>
                <w:sz w:val="18"/>
              </w:rPr>
              <w:t>xx.x</w:t>
            </w:r>
          </w:p>
        </w:tc>
        <w:tc>
          <w:tcPr>
            <w:tcW w:type="dxa" w:w="3420"/>
          </w:tcPr>
          <w:p>
            <w:pPr>
              <w:spacing w:before="20" w:after="20" w:line="240" w:lineRule="exact"/>
              <w:jc w:val="center"/>
            </w:pPr>
            <w:r>
              <w:rPr>
                <w:rFonts w:ascii="Times New Roman" w:hAnsi="Times New Roman"/>
                <w:b w:val="0"/>
                <w:sz w:val="18"/>
              </w:rPr>
              <w:t>Steady state maintained</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L16.2.15</w:t>
      </w:r>
    </w:p>
    <w:p>
      <w:pPr>
        <w:spacing w:before="0" w:after="0"/>
      </w:pPr>
      <w:r>
        <w:rPr>
          <w:rFonts w:ascii="Times New Roman" w:hAnsi="Times New Roman"/>
          <w:i/>
          <w:sz w:val="16"/>
        </w:rPr>
        <w:t>[2] Steady state = no statistically significant increase between consecutive cycles (ANOVA on log-transformed Ctrough, 90% CI of GMR within 0.80-1.25).</w:t>
      </w:r>
    </w:p>
    <w:p>
      <w:pPr>
        <w:spacing w:before="0" w:after="0"/>
      </w:pPr>
      <w:r>
        <w:rPr>
          <w:rFonts w:ascii="Times New Roman" w:hAnsi="Times New Roman"/>
          <w:i/>
          <w:sz w:val="16"/>
        </w:rPr>
        <w:t>[3] Abbreviations: CI = confidence interval; GMR = geometric mean ratio; CV = coefficient of variation; PK = pharmacokinetic; Ctrough = trough concentration; ANOVA = analysis of variance.</w:t>
      </w:r>
    </w:p>
    <w:p>
      <w:pPr>
        <w:spacing w:before="0" w:after="0"/>
      </w:pPr>
      <w:r>
        <w:rPr>
          <w:rFonts w:ascii="Times New Roman" w:hAnsi="Times New Roman"/>
          <w:i/>
          <w:sz w:val="16"/>
        </w:rPr>
        <w:t>[4] Statistical definitions: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ADPC. Program: t_steady_state.sas.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14.4.14  Urine Pharmacokinetic Parameters — Renal Excretion and Cumulative Recovery</w:t>
      </w:r>
      <w:r>
        <w:bookmarkStart w:id="0" w:name="T14.4.14"/>
        <w:bookmarkEnd w:id="0"/>
      </w:r>
    </w:p>
    <w:p>
      <w:pPr>
        <w:keepNext/>
        <w:spacing w:before="40" w:after="160"/>
      </w:pPr>
      <w:r>
        <w:rPr>
          <w:rFonts w:ascii="Times New Roman" w:hAnsi="Times New Roman"/>
          <w:i/>
          <w:sz w:val="18"/>
        </w:rPr>
        <w:t>Analysis Set: PK Population (Subset with Urine PK)</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280"/>
        <w:gridCol w:w="2280"/>
        <w:gridCol w:w="2280"/>
        <w:gridCol w:w="2280"/>
        <w:gridCol w:w="2280"/>
        <w:gridCol w:w="2280"/>
      </w:tblGrid>
      <w:tr>
        <w:trPr>
          <w:tblHeader w:val="true"/>
        </w:trPr>
        <w:tc>
          <w:tcPr>
            <w:tcW w:type="dxa" w:w="2280"/>
            <w:shd w:fill="F2F2F2" w:val="clear"/>
            <w:tcBorders>
              <w:bottom w:val="single" w:sz="4" w:space="0" w:color="000000"/>
            </w:tcBorders>
          </w:tcPr>
          <w:p>
            <w:pPr>
              <w:spacing w:before="0" w:after="0"/>
              <w:jc w:val="left"/>
            </w:pPr>
            <w:r>
              <w:rPr>
                <w:rFonts w:ascii="Times New Roman" w:hAnsi="Times New Roman"/>
                <w:b/>
                <w:sz w:val="18"/>
              </w:rPr>
              <w:t>PK Parameter</w:t>
            </w:r>
          </w:p>
          <w:p>
            <w:pPr>
              <w:spacing w:before="0" w:after="0"/>
              <w:jc w:val="left"/>
            </w:pPr>
            <w:r>
              <w:rPr>
                <w:rFonts w:ascii="Times New Roman" w:hAnsi="Times New Roman"/>
                <w:b/>
                <w:sz w:val="18"/>
              </w:rPr>
              <w:t>(Unit)</w:t>
            </w:r>
          </w:p>
        </w:tc>
        <w:tc>
          <w:tcPr>
            <w:tcW w:type="dxa" w:w="2280"/>
            <w:shd w:fill="F2F2F2" w:val="clear"/>
            <w:tcBorders>
              <w:bottom w:val="single" w:sz="4" w:space="0" w:color="000000"/>
            </w:tcBorders>
          </w:tcPr>
          <w:p>
            <w:pPr>
              <w:jc w:val="center"/>
            </w:pPr>
            <w:r>
              <w:rPr>
                <w:rFonts w:ascii="Times New Roman" w:hAnsi="Times New Roman"/>
                <w:b/>
                <w:sz w:val="18"/>
              </w:rPr>
              <w:t>Statistic</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1</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spacing w:before="0" w:after="0"/>
              <w:jc w:val="center"/>
            </w:pPr>
            <w:r>
              <w:rPr>
                <w:rFonts w:ascii="Times New Roman" w:hAnsi="Times New Roman"/>
                <w:b/>
                <w:sz w:val="18"/>
              </w:rPr>
              <w:t>Group 2</w:t>
            </w:r>
          </w:p>
          <w:p>
            <w:pPr>
              <w:spacing w:before="0" w:after="0"/>
              <w:jc w:val="center"/>
            </w:pPr>
            <w:r>
              <w:rPr>
                <w:rFonts w:ascii="Times New Roman" w:hAnsi="Times New Roman"/>
                <w:b/>
                <w:sz w:val="18"/>
              </w:rPr>
              <w:t>(N=XX)</w:t>
            </w:r>
          </w:p>
        </w:tc>
        <w:tc>
          <w:tcPr>
            <w:tcW w:type="dxa" w:w="2280"/>
            <w:shd w:fill="F2F2F2" w:val="clear"/>
            <w:tcBorders>
              <w:bottom w:val="single" w:sz="4" w:space="0" w:color="000000"/>
            </w:tcBorders>
          </w:tcPr>
          <w:p>
            <w:pPr>
              <w:jc w:val="center"/>
            </w:pPr>
            <w:r>
              <w:rPr>
                <w:rFonts w:ascii="Times New Roman" w:hAnsi="Times New Roman"/>
                <w:b/>
                <w:sz w:val="18"/>
              </w:rPr>
              <w:t>...</w:t>
            </w:r>
          </w:p>
        </w:tc>
        <w:tc>
          <w:tcPr>
            <w:tcW w:type="dxa" w:w="2280"/>
            <w:shd w:fill="F2F2F2" w:val="clear"/>
            <w:tcBorders>
              <w:bottom w:val="single" w:sz="4" w:space="0" w:color="000000"/>
            </w:tcBorders>
          </w:tcPr>
          <w:p>
            <w:pPr>
              <w:spacing w:before="0" w:after="0"/>
              <w:jc w:val="center"/>
            </w:pPr>
            <w:r>
              <w:rPr>
                <w:rFonts w:ascii="Times New Roman" w:hAnsi="Times New Roman"/>
                <w:b/>
                <w:sz w:val="18"/>
              </w:rPr>
              <w:t>Overall</w:t>
            </w:r>
          </w:p>
          <w:p>
            <w:pPr>
              <w:spacing w:before="0" w:after="0"/>
              <w:jc w:val="center"/>
            </w:pPr>
            <w:r>
              <w:rPr>
                <w:rFonts w:ascii="Times New Roman" w:hAnsi="Times New Roman"/>
                <w:b/>
                <w:sz w:val="18"/>
              </w:rPr>
              <w:t>(N=XX)</w:t>
            </w:r>
          </w:p>
        </w:tc>
      </w:tr>
      <w:tr>
        <w:tc>
          <w:tcPr>
            <w:tcW w:type="dxa" w:w="2280"/>
          </w:tcPr>
          <w:p>
            <w:pPr>
              <w:spacing w:before="120" w:after="20" w:line="240" w:lineRule="exact"/>
              <w:jc w:val="left"/>
            </w:pPr>
            <w:r>
              <w:rPr>
                <w:rFonts w:ascii="Times New Roman" w:hAnsi="Times New Roman"/>
                <w:b/>
                <w:sz w:val="18"/>
              </w:rPr>
              <w:t>Ae (Amount Excreted Unchanged, mg)</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 of Dose, Mean (SD)</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Renal Clearance (CLr, L/h)</w:t>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c>
          <w:tcPr>
            <w:tcW w:type="dxa" w:w="2280"/>
          </w:tcPr>
          <w:p>
            <w:pPr>
              <w:spacing w:before="120" w:after="20" w:line="240" w:lineRule="exact"/>
              <w:jc w:val="center"/>
            </w:pPr>
            <w:r>
              <w:rPr>
                <w:rFonts w:ascii="Times New Roman" w:hAnsi="Times New Roman"/>
                <w:b/>
                <w:sz w:val="18"/>
              </w:rPr>
            </w:r>
          </w:p>
        </w:tc>
      </w:tr>
      <w:tr>
        <w:tc>
          <w:tcPr>
            <w:tcW w:type="dxa" w:w="2280"/>
          </w:tcPr>
          <w:p>
            <w:pPr>
              <w:spacing w:before="0" w:after="20" w:line="240" w:lineRule="exact"/>
              <w:jc w:val="left"/>
            </w:pPr>
            <w:r>
              <w:rPr>
                <w:rFonts w:ascii="Times New Roman" w:hAnsi="Times New Roman"/>
                <w:b w:val="0"/>
                <w:sz w:val="18"/>
              </w:rPr>
              <w:t xml:space="preserve">    </w:t>
            </w:r>
          </w:p>
        </w:tc>
        <w:tc>
          <w:tcPr>
            <w:tcW w:type="dxa" w:w="2280"/>
          </w:tcPr>
          <w:p>
            <w:pPr>
              <w:spacing w:before="0" w:after="20" w:line="240" w:lineRule="exact"/>
              <w:jc w:val="center"/>
            </w:pPr>
            <w:r>
              <w:rPr>
                <w:rFonts w:ascii="Times New Roman" w:hAnsi="Times New Roman"/>
                <w:b w:val="0"/>
                <w:sz w:val="18"/>
              </w:rPr>
              <w:t>Geo Mean (CV%)</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xx.x (xx.x)</w:t>
            </w:r>
          </w:p>
        </w:tc>
        <w:tc>
          <w:tcPr>
            <w:tcW w:type="dxa" w:w="2280"/>
          </w:tcPr>
          <w:p>
            <w:pPr>
              <w:spacing w:before="0" w:after="20" w:line="240" w:lineRule="exact"/>
              <w:jc w:val="center"/>
            </w:pPr>
            <w:r>
              <w:rPr>
                <w:rFonts w:ascii="Times New Roman" w:hAnsi="Times New Roman"/>
                <w:b w:val="0"/>
                <w:sz w:val="18"/>
              </w:rPr>
              <w:t>...</w:t>
            </w:r>
          </w:p>
        </w:tc>
        <w:tc>
          <w:tcPr>
            <w:tcW w:type="dxa" w:w="2280"/>
          </w:tcPr>
          <w:p>
            <w:pPr>
              <w:spacing w:before="0" w:after="20" w:line="240" w:lineRule="exact"/>
              <w:jc w:val="center"/>
            </w:pPr>
            <w:r>
              <w:rPr>
                <w:rFonts w:ascii="Times New Roman" w:hAnsi="Times New Roman"/>
                <w:b w:val="0"/>
                <w:sz w:val="18"/>
              </w:rPr>
              <w:t>xx.x (xx.x)</w:t>
            </w:r>
          </w:p>
        </w:tc>
      </w:tr>
      <w:tr>
        <w:tc>
          <w:tcPr>
            <w:tcW w:type="dxa" w:w="2280"/>
          </w:tcPr>
          <w:p>
            <w:pPr>
              <w:spacing w:before="120" w:after="20" w:line="240" w:lineRule="exact"/>
              <w:jc w:val="left"/>
            </w:pPr>
            <w:r>
              <w:rPr>
                <w:rFonts w:ascii="Times New Roman" w:hAnsi="Times New Roman"/>
                <w:b/>
                <w:sz w:val="18"/>
              </w:rPr>
              <w:t>Cumulative Urinary Recovery (% Dose, 0-24h)</w:t>
            </w:r>
          </w:p>
        </w:tc>
        <w:tc>
          <w:tcPr>
            <w:tcW w:type="dxa" w:w="2280"/>
          </w:tcPr>
          <w:p>
            <w:pPr>
              <w:spacing w:before="120" w:after="20" w:line="240" w:lineRule="exact"/>
              <w:jc w:val="center"/>
            </w:pPr>
            <w:r>
              <w:rPr>
                <w:rFonts w:ascii="Times New Roman" w:hAnsi="Times New Roman"/>
                <w:b/>
                <w:sz w:val="18"/>
              </w:rPr>
              <w:t>Mean (SD)</w:t>
            </w:r>
          </w:p>
        </w:tc>
        <w:tc>
          <w:tcPr>
            <w:tcW w:type="dxa" w:w="2280"/>
          </w:tcPr>
          <w:p>
            <w:pPr>
              <w:spacing w:before="120" w:after="20" w:line="240" w:lineRule="exact"/>
              <w:jc w:val="center"/>
            </w:pPr>
            <w:r>
              <w:rPr>
                <w:rFonts w:ascii="Times New Roman" w:hAnsi="Times New Roman"/>
                <w:b/>
                <w:sz w:val="18"/>
              </w:rPr>
              <w:t>xx.x (xx.x)</w:t>
            </w:r>
          </w:p>
        </w:tc>
        <w:tc>
          <w:tcPr>
            <w:tcW w:type="dxa" w:w="2280"/>
          </w:tcPr>
          <w:p>
            <w:pPr>
              <w:spacing w:before="120" w:after="20" w:line="240" w:lineRule="exact"/>
              <w:jc w:val="center"/>
            </w:pPr>
            <w:r>
              <w:rPr>
                <w:rFonts w:ascii="Times New Roman" w:hAnsi="Times New Roman"/>
                <w:b/>
                <w:sz w:val="18"/>
              </w:rPr>
              <w:t>xx.x (xx.x)</w:t>
            </w:r>
          </w:p>
        </w:tc>
        <w:tc>
          <w:tcPr>
            <w:tcW w:type="dxa" w:w="2280"/>
          </w:tcPr>
          <w:p>
            <w:pPr>
              <w:spacing w:before="120" w:after="20" w:line="240" w:lineRule="exact"/>
              <w:jc w:val="center"/>
            </w:pPr>
            <w:r>
              <w:rPr>
                <w:rFonts w:ascii="Times New Roman" w:hAnsi="Times New Roman"/>
                <w:b/>
                <w:sz w:val="18"/>
              </w:rPr>
              <w:t>...</w:t>
            </w:r>
          </w:p>
        </w:tc>
        <w:tc>
          <w:tcPr>
            <w:tcW w:type="dxa" w:w="2280"/>
          </w:tcPr>
          <w:p>
            <w:pPr>
              <w:spacing w:before="120" w:after="20" w:line="240" w:lineRule="exact"/>
              <w:jc w:val="center"/>
            </w:pPr>
            <w:r>
              <w:rPr>
                <w:rFonts w:ascii="Times New Roman" w:hAnsi="Times New Roman"/>
                <w:b/>
                <w:sz w:val="18"/>
              </w:rPr>
              <w:t>xx.x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Urine PK collected over 0-4h, 4-8h, 8-12h, 12-24h intervals post-dose. Ae = cumulative amount excreted unchanged.</w:t>
      </w:r>
    </w:p>
    <w:p>
      <w:pPr>
        <w:spacing w:before="0" w:after="0"/>
      </w:pPr>
      <w:r>
        <w:rPr>
          <w:rFonts w:ascii="Times New Roman" w:hAnsi="Times New Roman"/>
          <w:i/>
          <w:sz w:val="16"/>
        </w:rPr>
        <w:t>[2] Abbreviations: PK = pharmacokinetic; CLr = renal clearance.</w:t>
      </w:r>
    </w:p>
    <w:p>
      <w:pPr>
        <w:spacing w:before="0" w:after="0"/>
      </w:pPr>
      <w:r>
        <w:rPr>
          <w:rFonts w:ascii="Times New Roman" w:hAnsi="Times New Roman"/>
          <w:i/>
          <w:sz w:val="16"/>
        </w:rPr>
        <w:t>[3] Dataset: ADSL, ADPP. Program: t_urine_pk.sas.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14.4.15  Food Effect on Pharmacokinetic Parameters — Fed vs Fasted Comparison</w:t>
      </w:r>
      <w:r>
        <w:bookmarkStart w:id="0" w:name="T14.4.15"/>
        <w:bookmarkEnd w:id="0"/>
      </w:r>
    </w:p>
    <w:p>
      <w:pPr>
        <w:keepNext/>
        <w:spacing w:before="40" w:after="160"/>
      </w:pPr>
      <w:r>
        <w:rPr>
          <w:rFonts w:ascii="Times New Roman" w:hAnsi="Times New Roman"/>
          <w:i/>
          <w:sz w:val="18"/>
        </w:rPr>
        <w:t>Analysis Set: PK Population in Food-Effect Cohorts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vMerge w:val="restart"/>
            <w:shd w:fill="F2F2F2" w:val="clear"/>
            <w:tcBorders>
              <w:bottom w:val="single" w:sz="4" w:space="0" w:color="000000"/>
            </w:tcBorders>
          </w:tcPr>
          <w:p>
            <w:pPr>
              <w:jc w:val="left"/>
            </w:pPr>
            <w:r>
              <w:rPr>
                <w:rFonts w:ascii="Times New Roman" w:hAnsi="Times New Roman"/>
                <w:b/>
                <w:sz w:val="18"/>
              </w:rPr>
              <w:t>PK Parameter</w:t>
            </w:r>
          </w:p>
        </w:tc>
        <w:tc>
          <w:tcPr>
            <w:tcW w:type="dxa" w:w="5472"/>
            <w:gridSpan w:val="2"/>
            <w:shd w:fill="F2F2F2" w:val="clear"/>
            <w:tcBorders>
              <w:bottom w:val="single" w:sz="4" w:space="0" w:color="000000"/>
            </w:tcBorders>
          </w:tcPr>
          <w:p>
            <w:pPr>
              <w:jc w:val="center"/>
            </w:pPr>
            <w:r>
              <w:rPr>
                <w:rFonts w:ascii="Times New Roman" w:hAnsi="Times New Roman"/>
                <w:b/>
                <w:sz w:val="18"/>
              </w:rPr>
              <w:t>Treatment Estimates</w:t>
            </w:r>
          </w:p>
        </w:tc>
        <w:tc>
          <w:tcPr>
            <w:tcW w:type="dxa" w:w="5472"/>
            <w:gridSpan w:val="2"/>
            <w:shd w:fill="F2F2F2" w:val="clear"/>
            <w:tcBorders>
              <w:bottom w:val="single" w:sz="4" w:space="0" w:color="000000"/>
            </w:tcBorders>
          </w:tcPr>
          <w:p>
            <w:pPr>
              <w:jc w:val="center"/>
            </w:pPr>
            <w:r>
              <w:rPr>
                <w:rFonts w:ascii="Times New Roman" w:hAnsi="Times New Roman"/>
                <w:b/>
                <w:sz w:val="18"/>
              </w:rPr>
              <w:t>Fed vs Fasted Comparison</w:t>
            </w:r>
          </w:p>
        </w:tc>
      </w:tr>
      <w:tr>
        <w:trPr>
          <w:tblHeader w:val="true"/>
        </w:trPr>
        <w:tc>
          <w:tcPr>
            <w:tcW w:type="dxa" w:w="2736"/>
            <w:vMerge/>
          </w:tcPr>
          <w:p/>
        </w:tc>
        <w:tc>
          <w:tcPr>
            <w:tcW w:type="dxa" w:w="2736"/>
            <w:shd w:fill="F2F2F2" w:val="clear"/>
            <w:tcBorders>
              <w:bottom w:val="single" w:sz="4" w:space="0" w:color="000000"/>
            </w:tcBorders>
          </w:tcPr>
          <w:p>
            <w:pPr>
              <w:spacing w:before="0" w:after="0"/>
              <w:jc w:val="center"/>
            </w:pPr>
            <w:r>
              <w:rPr>
                <w:rFonts w:ascii="Times New Roman" w:hAnsi="Times New Roman"/>
                <w:b/>
                <w:sz w:val="18"/>
              </w:rPr>
              <w:t>Fasted</w:t>
            </w:r>
          </w:p>
          <w:p>
            <w:pPr>
              <w:spacing w:before="0" w:after="0"/>
              <w:jc w:val="center"/>
            </w:pPr>
            <w:r>
              <w:rPr>
                <w:rFonts w:ascii="Times New Roman" w:hAnsi="Times New Roman"/>
                <w:b/>
                <w:sz w:val="18"/>
              </w:rPr>
              <w:t>Geometric Mean</w:t>
            </w:r>
          </w:p>
        </w:tc>
        <w:tc>
          <w:tcPr>
            <w:tcW w:type="dxa" w:w="2736"/>
            <w:shd w:fill="F2F2F2" w:val="clear"/>
            <w:tcBorders>
              <w:bottom w:val="single" w:sz="4" w:space="0" w:color="000000"/>
            </w:tcBorders>
          </w:tcPr>
          <w:p>
            <w:pPr>
              <w:spacing w:before="0" w:after="0"/>
              <w:jc w:val="center"/>
            </w:pPr>
            <w:r>
              <w:rPr>
                <w:rFonts w:ascii="Times New Roman" w:hAnsi="Times New Roman"/>
                <w:b/>
                <w:sz w:val="18"/>
              </w:rPr>
              <w:t>Fed</w:t>
            </w:r>
          </w:p>
          <w:p>
            <w:pPr>
              <w:spacing w:before="0" w:after="0"/>
              <w:jc w:val="center"/>
            </w:pPr>
            <w:r>
              <w:rPr>
                <w:rFonts w:ascii="Times New Roman" w:hAnsi="Times New Roman"/>
                <w:b/>
                <w:sz w:val="18"/>
              </w:rPr>
              <w:t>Geometric Mean</w:t>
            </w:r>
          </w:p>
        </w:tc>
        <w:tc>
          <w:tcPr>
            <w:tcW w:type="dxa" w:w="2736"/>
            <w:shd w:fill="F2F2F2" w:val="clear"/>
            <w:tcBorders>
              <w:bottom w:val="single" w:sz="4" w:space="0" w:color="000000"/>
            </w:tcBorders>
          </w:tcPr>
          <w:p>
            <w:pPr>
              <w:jc w:val="center"/>
            </w:pPr>
            <w:r>
              <w:rPr>
                <w:rFonts w:ascii="Times New Roman" w:hAnsi="Times New Roman"/>
                <w:b/>
                <w:sz w:val="18"/>
              </w:rPr>
              <w:t>GMR</w:t>
            </w:r>
          </w:p>
        </w:tc>
        <w:tc>
          <w:tcPr>
            <w:tcW w:type="dxa" w:w="2736"/>
            <w:shd w:fill="F2F2F2" w:val="clear"/>
            <w:tcBorders>
              <w:bottom w:val="single" w:sz="4" w:space="0" w:color="000000"/>
            </w:tcBorders>
          </w:tcPr>
          <w:p>
            <w:pPr>
              <w:jc w:val="center"/>
            </w:pPr>
            <w:r>
              <w:rPr>
                <w:rFonts w:ascii="Times New Roman" w:hAnsi="Times New Roman"/>
                <w:b/>
                <w:sz w:val="18"/>
              </w:rPr>
              <w:t>90% CI</w:t>
            </w:r>
          </w:p>
        </w:tc>
      </w:tr>
      <w:tr>
        <w:tc>
          <w:tcPr>
            <w:tcW w:type="dxa" w:w="2736"/>
          </w:tcPr>
          <w:p>
            <w:pPr>
              <w:spacing w:before="20" w:after="20" w:line="240" w:lineRule="exact"/>
              <w:jc w:val="left"/>
            </w:pPr>
            <w:r>
              <w:rPr>
                <w:rFonts w:ascii="Times New Roman" w:hAnsi="Times New Roman"/>
                <w:b w:val="0"/>
                <w:sz w:val="18"/>
              </w:rPr>
              <w:t>Cmax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AUC0-t</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AUC0-inf</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Tmax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t>x.x</w:t>
            </w:r>
          </w:p>
        </w:tc>
        <w:tc>
          <w:tcPr>
            <w:tcW w:type="dxa" w:w="2736"/>
          </w:tcPr>
          <w:p>
            <w:pPr>
              <w:spacing w:before="20" w:after="20" w:line="240" w:lineRule="exact"/>
              <w:jc w:val="center"/>
            </w:pPr>
            <w:r>
              <w:rPr>
                <w:rFonts w:ascii="Times New Roman" w:hAnsi="Times New Roman"/>
                <w:b w:val="0"/>
                <w:sz w:val="18"/>
              </w:rPr>
            </w:r>
          </w:p>
        </w:tc>
        <w:tc>
          <w:tcPr>
            <w:tcW w:type="dxa" w:w="2736"/>
          </w:tcPr>
          <w:p>
            <w:pPr>
              <w:spacing w:before="20" w:after="20" w:line="240" w:lineRule="exact"/>
              <w:jc w:val="center"/>
            </w:pPr>
            <w:r>
              <w:rPr>
                <w:rFonts w:ascii="Times New Roman" w:hAnsi="Times New Roman"/>
                <w:b w:val="0"/>
                <w:sz w:val="18"/>
              </w:rPr>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L16.2.33</w:t>
      </w:r>
    </w:p>
    <w:p>
      <w:pPr>
        <w:spacing w:before="0" w:after="0"/>
      </w:pPr>
      <w:r>
        <w:rPr>
          <w:rFonts w:ascii="Times New Roman" w:hAnsi="Times New Roman"/>
          <w:i/>
          <w:sz w:val="16"/>
        </w:rPr>
        <w:t>[2] Food-effect comparison based on log-transformed PK parameters in protocol-defined fed and fasted periods.</w:t>
      </w:r>
    </w:p>
    <w:p>
      <w:pPr>
        <w:spacing w:before="0" w:after="0"/>
      </w:pPr>
      <w:r>
        <w:rPr>
          <w:rFonts w:ascii="Times New Roman" w:hAnsi="Times New Roman"/>
          <w:i/>
          <w:sz w:val="16"/>
        </w:rPr>
        <w:t>[3] Abbreviations: CI = confidence interval; GMR = geometric mean ratio; PK = pharmacokinetic; Cmax = maximum observed concentration; Tmax = time to maximum observed concentration; AUC = area under the concentration-time curve.</w:t>
      </w:r>
    </w:p>
    <w:p>
      <w:pPr>
        <w:spacing w:before="0" w:after="0"/>
      </w:pPr>
      <w:r>
        <w:rPr>
          <w:rFonts w:ascii="Times New Roman" w:hAnsi="Times New Roman"/>
          <w:i/>
          <w:sz w:val="16"/>
        </w:rPr>
        <w:t>[4] Statistical definitions: Model-based estimates, contrasts, confidence intervals, and p-values follow the model, covariate, missing-data, and multiplicity specifications in the SAP. Descriptive statistics are calculated from non-missing observations unless the SAP states otherwise.</w:t>
      </w:r>
    </w:p>
    <w:p>
      <w:pPr>
        <w:spacing w:before="0" w:after="0"/>
      </w:pPr>
      <w:r>
        <w:rPr>
          <w:rFonts w:ascii="Times New Roman" w:hAnsi="Times New Roman"/>
          <w:i/>
          <w:sz w:val="16"/>
        </w:rPr>
        <w:t>[5] Dataset: ADSL, ADPP. Program: t_food_effect_pk.sas.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Table 14.4.16  Relative Bioavailability / Crossover PK Comparison by Treatment Period</w:t>
      </w:r>
      <w:r>
        <w:bookmarkStart w:id="0" w:name="T14.4.16"/>
        <w:bookmarkEnd w:id="0"/>
      </w:r>
    </w:p>
    <w:p>
      <w:pPr>
        <w:keepNext/>
        <w:spacing w:before="40" w:after="160"/>
      </w:pPr>
      <w:r>
        <w:rPr>
          <w:rFonts w:ascii="Times New Roman" w:hAnsi="Times New Roman"/>
          <w:i/>
          <w:sz w:val="18"/>
        </w:rPr>
        <w:t>Analysis Set: PK Population in Crossover / Relative Bioavailability Cohorts</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736"/>
        <w:gridCol w:w="2736"/>
        <w:gridCol w:w="2736"/>
        <w:gridCol w:w="2736"/>
        <w:gridCol w:w="2736"/>
      </w:tblGrid>
      <w:tr>
        <w:trPr>
          <w:tblHeader w:val="true"/>
        </w:trPr>
        <w:tc>
          <w:tcPr>
            <w:tcW w:type="dxa" w:w="2736"/>
            <w:vMerge w:val="restart"/>
            <w:shd w:fill="F2F2F2" w:val="clear"/>
            <w:tcBorders>
              <w:bottom w:val="single" w:sz="4" w:space="0" w:color="000000"/>
            </w:tcBorders>
          </w:tcPr>
          <w:p>
            <w:pPr>
              <w:jc w:val="left"/>
            </w:pPr>
            <w:r>
              <w:rPr>
                <w:rFonts w:ascii="Times New Roman" w:hAnsi="Times New Roman"/>
                <w:b/>
                <w:sz w:val="18"/>
              </w:rPr>
              <w:t>PK Parameter</w:t>
            </w:r>
          </w:p>
        </w:tc>
        <w:tc>
          <w:tcPr>
            <w:tcW w:type="dxa" w:w="5472"/>
            <w:gridSpan w:val="2"/>
            <w:shd w:fill="F2F2F2" w:val="clear"/>
            <w:tcBorders>
              <w:bottom w:val="single" w:sz="4" w:space="0" w:color="000000"/>
            </w:tcBorders>
          </w:tcPr>
          <w:p>
            <w:pPr>
              <w:jc w:val="center"/>
            </w:pPr>
            <w:r>
              <w:rPr>
                <w:rFonts w:ascii="Times New Roman" w:hAnsi="Times New Roman"/>
                <w:b/>
                <w:sz w:val="18"/>
              </w:rPr>
              <w:t>Treatment Estimates</w:t>
            </w:r>
          </w:p>
        </w:tc>
        <w:tc>
          <w:tcPr>
            <w:tcW w:type="dxa" w:w="5472"/>
            <w:gridSpan w:val="2"/>
            <w:shd w:fill="F2F2F2" w:val="clear"/>
            <w:tcBorders>
              <w:bottom w:val="single" w:sz="4" w:space="0" w:color="000000"/>
            </w:tcBorders>
          </w:tcPr>
          <w:p>
            <w:pPr>
              <w:jc w:val="center"/>
            </w:pPr>
            <w:r>
              <w:rPr>
                <w:rFonts w:ascii="Times New Roman" w:hAnsi="Times New Roman"/>
                <w:b/>
                <w:sz w:val="18"/>
              </w:rPr>
              <w:t>Test vs Reference Comparison</w:t>
            </w:r>
          </w:p>
        </w:tc>
      </w:tr>
      <w:tr>
        <w:trPr>
          <w:tblHeader w:val="true"/>
        </w:trPr>
        <w:tc>
          <w:tcPr>
            <w:tcW w:type="dxa" w:w="2736"/>
            <w:vMerge/>
          </w:tcPr>
          <w:p/>
        </w:tc>
        <w:tc>
          <w:tcPr>
            <w:tcW w:type="dxa" w:w="2736"/>
            <w:shd w:fill="F2F2F2" w:val="clear"/>
            <w:tcBorders>
              <w:bottom w:val="single" w:sz="4" w:space="0" w:color="000000"/>
            </w:tcBorders>
          </w:tcPr>
          <w:p>
            <w:pPr>
              <w:jc w:val="center"/>
            </w:pPr>
            <w:r>
              <w:rPr>
                <w:rFonts w:ascii="Times New Roman" w:hAnsi="Times New Roman"/>
                <w:b/>
                <w:sz w:val="18"/>
              </w:rPr>
              <w:t>Reference Treatment</w:t>
            </w:r>
          </w:p>
        </w:tc>
        <w:tc>
          <w:tcPr>
            <w:tcW w:type="dxa" w:w="2736"/>
            <w:shd w:fill="F2F2F2" w:val="clear"/>
            <w:tcBorders>
              <w:bottom w:val="single" w:sz="4" w:space="0" w:color="000000"/>
            </w:tcBorders>
          </w:tcPr>
          <w:p>
            <w:pPr>
              <w:jc w:val="center"/>
            </w:pPr>
            <w:r>
              <w:rPr>
                <w:rFonts w:ascii="Times New Roman" w:hAnsi="Times New Roman"/>
                <w:b/>
                <w:sz w:val="18"/>
              </w:rPr>
              <w:t>Test Treatment</w:t>
            </w:r>
          </w:p>
        </w:tc>
        <w:tc>
          <w:tcPr>
            <w:tcW w:type="dxa" w:w="2736"/>
            <w:shd w:fill="F2F2F2" w:val="clear"/>
            <w:tcBorders>
              <w:bottom w:val="single" w:sz="4" w:space="0" w:color="000000"/>
            </w:tcBorders>
          </w:tcPr>
          <w:p>
            <w:pPr>
              <w:jc w:val="center"/>
            </w:pPr>
            <w:r>
              <w:rPr>
                <w:rFonts w:ascii="Times New Roman" w:hAnsi="Times New Roman"/>
                <w:b/>
                <w:sz w:val="18"/>
              </w:rPr>
              <w:t>GMR</w:t>
            </w:r>
          </w:p>
        </w:tc>
        <w:tc>
          <w:tcPr>
            <w:tcW w:type="dxa" w:w="2736"/>
            <w:shd w:fill="F2F2F2" w:val="clear"/>
            <w:tcBorders>
              <w:bottom w:val="single" w:sz="4" w:space="0" w:color="000000"/>
            </w:tcBorders>
          </w:tcPr>
          <w:p>
            <w:pPr>
              <w:jc w:val="center"/>
            </w:pPr>
            <w:r>
              <w:rPr>
                <w:rFonts w:ascii="Times New Roman" w:hAnsi="Times New Roman"/>
                <w:b/>
                <w:sz w:val="18"/>
              </w:rPr>
              <w:t>90% CI</w:t>
            </w:r>
          </w:p>
        </w:tc>
      </w:tr>
      <w:tr>
        <w:tc>
          <w:tcPr>
            <w:tcW w:type="dxa" w:w="2736"/>
          </w:tcPr>
          <w:p>
            <w:pPr>
              <w:spacing w:before="20" w:after="20" w:line="240" w:lineRule="exact"/>
              <w:jc w:val="left"/>
            </w:pPr>
            <w:r>
              <w:rPr>
                <w:rFonts w:ascii="Times New Roman" w:hAnsi="Times New Roman"/>
                <w:b w:val="0"/>
                <w:sz w:val="18"/>
              </w:rPr>
              <w:t>Cmax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AUC0-t</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AUC0-inf</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r>
        <w:tc>
          <w:tcPr>
            <w:tcW w:type="dxa" w:w="2736"/>
          </w:tcPr>
          <w:p>
            <w:pPr>
              <w:spacing w:before="20" w:after="20" w:line="240" w:lineRule="exact"/>
              <w:jc w:val="left"/>
            </w:pPr>
            <w:r>
              <w:rPr>
                <w:rFonts w:ascii="Times New Roman" w:hAnsi="Times New Roman"/>
                <w:b w:val="0"/>
                <w:sz w:val="18"/>
              </w:rPr>
              <w:t>t1/2</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w:t>
            </w:r>
          </w:p>
        </w:tc>
        <w:tc>
          <w:tcPr>
            <w:tcW w:type="dxa" w:w="2736"/>
          </w:tcPr>
          <w:p>
            <w:pPr>
              <w:spacing w:before="20" w:after="20" w:line="240" w:lineRule="exact"/>
              <w:jc w:val="center"/>
            </w:pPr>
            <w:r>
              <w:rPr>
                <w:rFonts w:ascii="Times New Roman" w:hAnsi="Times New Roman"/>
                <w:b w:val="0"/>
                <w:sz w:val="18"/>
              </w:rPr>
              <w:t>[x.xx, x.xx]</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L16.2.33</w:t>
      </w:r>
    </w:p>
    <w:p>
      <w:pPr>
        <w:spacing w:before="0" w:after="0"/>
      </w:pPr>
      <w:r>
        <w:rPr>
          <w:rFonts w:ascii="Times New Roman" w:hAnsi="Times New Roman"/>
          <w:i/>
          <w:sz w:val="16"/>
        </w:rPr>
        <w:t>[2] Relative bioavailability or crossover comparison per protocol-defined mixed-effects model with sequence, period, and treatment effects where applicable.</w:t>
      </w:r>
    </w:p>
    <w:p>
      <w:pPr>
        <w:spacing w:before="0" w:after="0"/>
      </w:pPr>
      <w:r>
        <w:rPr>
          <w:rFonts w:ascii="Times New Roman" w:hAnsi="Times New Roman"/>
          <w:i/>
          <w:sz w:val="16"/>
        </w:rPr>
        <w:t>[3] Abbreviations: CI = confidence interval; GMR = geometric mean ratio; PK = pharmacokinetic; Cmax = maximum observed concentration; AUC = area under the concentration-time curve.</w:t>
      </w:r>
    </w:p>
    <w:p>
      <w:pPr>
        <w:spacing w:before="0" w:after="0"/>
      </w:pPr>
      <w:r>
        <w:rPr>
          <w:rFonts w:ascii="Times New Roman" w:hAnsi="Times New Roman"/>
          <w:i/>
          <w:sz w:val="16"/>
        </w:rPr>
        <w:t>[4] Statistical definitions: Model-based estimates, contrasts, confidence intervals, and p-values follow the model, covariate, missing-data, and multiplicity specifications in the SAP.</w:t>
      </w:r>
    </w:p>
    <w:p>
      <w:pPr>
        <w:spacing w:before="0" w:after="0"/>
      </w:pPr>
      <w:r>
        <w:rPr>
          <w:rFonts w:ascii="Times New Roman" w:hAnsi="Times New Roman"/>
          <w:i/>
          <w:sz w:val="16"/>
        </w:rPr>
        <w:t>[5] Dataset: ADSL, ADPP. Program: t_crossover_pk.sas.</w:t>
      </w:r>
      <w:r>
        <w:br w:type="page"/>
      </w:r>
    </w:p>
    <w:p>
      <w:pPr>
        <w:pStyle w:val="Heading3"/>
        <w:spacing w:before="120" w:after="80"/>
      </w:pPr>
      <w:r>
        <w:rPr>
          <w:rFonts w:ascii="Times New Roman" w:hAnsi="Times New Roman"/>
          <w:b/>
          <w:color w:val="003366"/>
          <w:sz w:val="22"/>
        </w:rPr>
        <w:t>Figures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14.4.1  Pharmacokinetic (PK) Plot — Mean Serum Concentration-Time Profiles</w:t>
      </w:r>
      <w:r>
        <w:bookmarkStart w:id="0" w:name="F14.4.1"/>
        <w:bookmarkEnd w:id="0"/>
      </w:r>
    </w:p>
    <w:p>
      <w:pPr>
        <w:keepNext/>
        <w:spacing w:before="40" w:after="160"/>
      </w:pPr>
      <w:r>
        <w:rPr>
          <w:rFonts w:ascii="Times New Roman" w:hAnsi="Times New Roman"/>
          <w:i/>
          <w:sz w:val="18"/>
        </w:rPr>
        <w:t>Analysis Set: PK Population</w:t>
      </w:r>
    </w:p>
    <w:p>
      <w:pPr>
        <w:spacing w:before="120" w:after="40"/>
        <w:jc w:val="center"/>
      </w:pPr>
      <w:r>
        <w:drawing>
          <wp:inline xmlns:a="http://schemas.openxmlformats.org/drawingml/2006/main" xmlns:pic="http://schemas.openxmlformats.org/drawingml/2006/picture">
            <wp:extent cx="5486400" cy="3445384"/>
            <wp:docPr id="24" name="Picture 2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3445384"/>
                    </a:xfrm>
                    <a:prstGeom prst="rect"/>
                  </pic:spPr>
                </pic:pic>
              </a:graphicData>
            </a:graphic>
          </wp:inline>
        </w:drawing>
      </w:r>
    </w:p>
    <w:p>
      <w:pPr>
        <w:keepNext/>
        <w:spacing w:before="0" w:after="40"/>
        <w:jc w:val="center"/>
      </w:pPr>
      <w:r>
        <w:rPr>
          <w:rFonts w:ascii="Times New Roman" w:hAnsi="Times New Roman"/>
          <w:i/>
          <w:color w:val="646464"/>
          <w:sz w:val="16"/>
        </w:rPr>
        <w:t>[Figure 14.4.1: PK plot: Mean (±SD) serum concentration vs. time, linear/log scales.]</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L16.2.14</w:t>
      </w:r>
    </w:p>
    <w:p>
      <w:pPr>
        <w:spacing w:before="0" w:after="0"/>
      </w:pPr>
      <w:r>
        <w:rPr>
          <w:rFonts w:ascii="Times New Roman" w:hAnsi="Times New Roman"/>
          <w:i/>
          <w:sz w:val="16"/>
        </w:rPr>
        <w:t>[2] Dataset: ADSL, ADPC. Program: f_pk_profile.sas.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14.4.2  Overlaying Individual PK Concentration Profiles</w:t>
      </w:r>
      <w:r>
        <w:bookmarkStart w:id="0" w:name="F14.4.2"/>
        <w:bookmarkEnd w:id="0"/>
      </w:r>
    </w:p>
    <w:p>
      <w:pPr>
        <w:keepNext/>
        <w:spacing w:before="40" w:after="160"/>
      </w:pPr>
      <w:r>
        <w:rPr>
          <w:rFonts w:ascii="Times New Roman" w:hAnsi="Times New Roman"/>
          <w:i/>
          <w:sz w:val="18"/>
        </w:rPr>
        <w:t>Analysis Set: PK Population</w:t>
      </w:r>
    </w:p>
    <w:p>
      <w:pPr>
        <w:spacing w:before="120" w:after="40"/>
        <w:jc w:val="center"/>
      </w:pPr>
      <w:r>
        <w:drawing>
          <wp:inline xmlns:a="http://schemas.openxmlformats.org/drawingml/2006/main" xmlns:pic="http://schemas.openxmlformats.org/drawingml/2006/picture">
            <wp:extent cx="5486400" cy="3442447"/>
            <wp:docPr id="25" name="Picture 2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3442447"/>
                    </a:xfrm>
                    <a:prstGeom prst="rect"/>
                  </pic:spPr>
                </pic:pic>
              </a:graphicData>
            </a:graphic>
          </wp:inline>
        </w:drawing>
      </w:r>
    </w:p>
    <w:p>
      <w:pPr>
        <w:keepNext/>
        <w:spacing w:before="0" w:after="40"/>
        <w:jc w:val="center"/>
      </w:pPr>
      <w:r>
        <w:rPr>
          <w:rFonts w:ascii="Times New Roman" w:hAnsi="Times New Roman"/>
          <w:i/>
          <w:color w:val="646464"/>
          <w:sz w:val="16"/>
        </w:rPr>
        <w:t>[Figure 14.4.2: PK overlay: individual concentration-time profiles by treatment group.]</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L16.2.14</w:t>
      </w:r>
    </w:p>
    <w:p>
      <w:pPr>
        <w:spacing w:before="0" w:after="0"/>
      </w:pPr>
      <w:r>
        <w:rPr>
          <w:rFonts w:ascii="Times New Roman" w:hAnsi="Times New Roman"/>
          <w:i/>
          <w:sz w:val="16"/>
        </w:rPr>
        <w:t>[2] Dataset: ADSL, ADPC. Program: f_pk_overlay.sas.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14.4.3  Mean (SD) Soluble EGFR and cMet Over Time</w:t>
      </w:r>
      <w:r>
        <w:bookmarkStart w:id="0" w:name="F14.4.3"/>
        <w:bookmarkEnd w:id="0"/>
      </w:r>
    </w:p>
    <w:p>
      <w:pPr>
        <w:keepNext/>
        <w:spacing w:before="40" w:after="160"/>
      </w:pPr>
      <w:r>
        <w:rPr>
          <w:rFonts w:ascii="Times New Roman" w:hAnsi="Times New Roman"/>
          <w:i/>
          <w:sz w:val="18"/>
        </w:rPr>
        <w:t>Analysis Set: PD Population</w:t>
      </w:r>
    </w:p>
    <w:p>
      <w:pPr>
        <w:spacing w:before="120" w:after="40"/>
        <w:jc w:val="center"/>
      </w:pPr>
      <w:r>
        <w:drawing>
          <wp:inline xmlns:a="http://schemas.openxmlformats.org/drawingml/2006/main" xmlns:pic="http://schemas.openxmlformats.org/drawingml/2006/picture">
            <wp:extent cx="5486400" cy="3484030"/>
            <wp:docPr id="26" name="Picture 2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3484030"/>
                    </a:xfrm>
                    <a:prstGeom prst="rect"/>
                  </pic:spPr>
                </pic:pic>
              </a:graphicData>
            </a:graphic>
          </wp:inline>
        </w:drawing>
      </w:r>
    </w:p>
    <w:p>
      <w:pPr>
        <w:keepNext/>
        <w:spacing w:before="0" w:after="40"/>
        <w:jc w:val="center"/>
      </w:pPr>
      <w:r>
        <w:rPr>
          <w:rFonts w:ascii="Times New Roman" w:hAnsi="Times New Roman"/>
          <w:i/>
          <w:color w:val="646464"/>
          <w:sz w:val="16"/>
        </w:rPr>
        <w:t>[Figure 14.4.3: PD plot: Mean (±SD) soluble EGFR/cMet concentrations over time.]</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Dataset: ADSL, ADPD. Program: f_pd_time.sas.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14.4.4  Boxplot of Biomarkers at Baseline vs. Response Status</w:t>
      </w:r>
      <w:r>
        <w:bookmarkStart w:id="0" w:name="F14.4.4"/>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Full Analysis Set with Biomarker Data</w:t>
      </w:r>
    </w:p>
    <w:p>
      <w:pPr>
        <w:spacing w:before="120" w:after="40"/>
        <w:jc w:val="center"/>
      </w:pPr>
      <w:r>
        <w:drawing>
          <wp:inline xmlns:a="http://schemas.openxmlformats.org/drawingml/2006/main" xmlns:pic="http://schemas.openxmlformats.org/drawingml/2006/picture">
            <wp:extent cx="5486400" cy="3484030"/>
            <wp:docPr id="27" name="Picture 2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3484030"/>
                    </a:xfrm>
                    <a:prstGeom prst="rect"/>
                  </pic:spPr>
                </pic:pic>
              </a:graphicData>
            </a:graphic>
          </wp:inline>
        </w:drawing>
      </w:r>
    </w:p>
    <w:p>
      <w:pPr>
        <w:keepNext/>
        <w:spacing w:before="0" w:after="40"/>
        <w:jc w:val="center"/>
      </w:pPr>
      <w:r>
        <w:rPr>
          <w:rFonts w:ascii="Times New Roman" w:hAnsi="Times New Roman"/>
          <w:i/>
          <w:color w:val="646464"/>
          <w:sz w:val="16"/>
        </w:rPr>
        <w:t>[Figure 14.4.4: Box plot: Biomarker levels at baseline by response status (CR/PR/SD/PD).]</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L16.2.17</w:t>
      </w:r>
    </w:p>
    <w:p>
      <w:pPr>
        <w:spacing w:before="0" w:after="0"/>
      </w:pPr>
      <w:r>
        <w:rPr>
          <w:rFonts w:ascii="Times New Roman" w:hAnsi="Times New Roman"/>
          <w:i/>
          <w:sz w:val="16"/>
        </w:rPr>
        <w:t>[2] Dataset: ADSL, ADBM. Program: f_biomarker_box.sas.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Figure 14.4.5  Mean Concentration-Time Profiles — Fed vs Fasted</w:t>
      </w:r>
      <w:r>
        <w:bookmarkStart w:id="0" w:name="F14.4.5"/>
        <w:bookmarkEnd w:id="0"/>
      </w:r>
    </w:p>
    <w:p>
      <w:pPr>
        <w:keepNext/>
        <w:spacing w:before="40" w:after="160"/>
      </w:pPr>
      <w:r>
        <w:rPr>
          <w:rFonts w:ascii="Times New Roman" w:hAnsi="Times New Roman"/>
          <w:i/>
          <w:sz w:val="18"/>
        </w:rPr>
        <w:t>Analysis Set: PK Population in Food-Effect Cohorts</w:t>
      </w:r>
    </w:p>
    <w:p>
      <w:pPr>
        <w:spacing w:before="120" w:after="40"/>
        <w:jc w:val="center"/>
      </w:pPr>
      <w:r>
        <w:drawing>
          <wp:inline xmlns:a="http://schemas.openxmlformats.org/drawingml/2006/main" xmlns:pic="http://schemas.openxmlformats.org/drawingml/2006/picture">
            <wp:extent cx="5486400" cy="3445384"/>
            <wp:docPr id="28" name="Picture 2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3445384"/>
                    </a:xfrm>
                    <a:prstGeom prst="rect"/>
                  </pic:spPr>
                </pic:pic>
              </a:graphicData>
            </a:graphic>
          </wp:inline>
        </w:drawing>
      </w:r>
    </w:p>
    <w:p>
      <w:pPr>
        <w:keepNext/>
        <w:spacing w:before="0" w:after="40"/>
        <w:jc w:val="center"/>
      </w:pPr>
      <w:r>
        <w:rPr>
          <w:rFonts w:ascii="Times New Roman" w:hAnsi="Times New Roman"/>
          <w:i/>
          <w:color w:val="646464"/>
          <w:sz w:val="16"/>
        </w:rPr>
        <w:t>[Figure 14.4.5: Mean concentration-time profiles under fed and fasted conditions with linear and semilog interpretation support.]</w:t>
      </w:r>
    </w:p>
    <w:p>
      <w:pPr>
        <w:keepNext/>
        <w:spacing w:before="40" w:after="40"/>
      </w:pPr>
      <w:r>
        <w:rPr>
          <w:rFonts w:ascii="Times New Roman" w:hAnsi="Times New Roman"/>
          <w:i/>
          <w:color w:val="999999"/>
          <w:sz w:val="16"/>
        </w:rPr>
        <w:t>[Figure shell template. Actual figure generated by clinical statistical software (e.g., SAS, R).]</w:t>
      </w:r>
    </w:p>
    <w:p>
      <w:pPr>
        <w:keepNext/>
        <w:spacing w:before="120" w:after="20"/>
      </w:pPr>
      <w:r>
        <w:rPr>
          <w:rFonts w:ascii="Times New Roman" w:hAnsi="Times New Roman"/>
          <w:b/>
          <w:i/>
          <w:sz w:val="16"/>
        </w:rPr>
        <w:t>Footnotes:</w:t>
      </w:r>
    </w:p>
    <w:p>
      <w:pPr>
        <w:spacing w:before="0" w:after="0"/>
      </w:pPr>
      <w:r>
        <w:rPr>
          <w:rFonts w:ascii="Times New Roman" w:hAnsi="Times New Roman"/>
          <w:i/>
          <w:sz w:val="16"/>
        </w:rPr>
        <w:t>[1] Source Listing: L16.2.33</w:t>
      </w:r>
    </w:p>
    <w:p>
      <w:pPr>
        <w:spacing w:before="0" w:after="0"/>
      </w:pPr>
      <w:r>
        <w:rPr>
          <w:rFonts w:ascii="Times New Roman" w:hAnsi="Times New Roman"/>
          <w:i/>
          <w:sz w:val="16"/>
        </w:rPr>
        <w:t>[2] Dataset: ADSL, ADPC. Program: f_food_effect_pk.sas.</w:t>
      </w:r>
      <w:r>
        <w:br w:type="page"/>
      </w:r>
    </w:p>
    <w:p>
      <w:pPr>
        <w:pStyle w:val="Heading2"/>
      </w:pPr>
      <w:r>
        <w:t>16.2  Patient Data Listings</w:t>
      </w:r>
    </w:p>
    <w:p>
      <w:pPr>
        <w:pStyle w:val="Heading3"/>
        <w:spacing w:before="120" w:after="80"/>
      </w:pPr>
      <w:r>
        <w:rPr>
          <w:rFonts w:ascii="Times New Roman" w:hAnsi="Times New Roman"/>
          <w:b/>
          <w:color w:val="003366"/>
          <w:sz w:val="22"/>
        </w:rPr>
        <w:t>Listings</w:t>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  Listing of Subject Disposition</w:t>
      </w:r>
      <w:r>
        <w:bookmarkStart w:id="0" w:name="L16.2.1"/>
        <w:bookmarkEnd w:id="0"/>
      </w:r>
    </w:p>
    <w:p>
      <w:pPr>
        <w:keepNext/>
        <w:spacing w:before="40" w:after="160"/>
      </w:pPr>
      <w:r>
        <w:rPr>
          <w:rFonts w:ascii="Times New Roman" w:hAnsi="Times New Roman"/>
          <w:i/>
          <w:sz w:val="18"/>
        </w:rPr>
        <w:t>Analysis Set: All Screened Subjects</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Date Screened</w:t>
            </w:r>
          </w:p>
        </w:tc>
        <w:tc>
          <w:tcPr>
            <w:tcW w:type="dxa" w:w="1520"/>
            <w:shd w:fill="F2F2F2" w:val="clear"/>
            <w:tcBorders>
              <w:bottom w:val="single" w:sz="4" w:space="0" w:color="000000"/>
            </w:tcBorders>
          </w:tcPr>
          <w:p>
            <w:pPr>
              <w:jc w:val="center"/>
            </w:pPr>
            <w:r>
              <w:rPr>
                <w:rFonts w:ascii="Times New Roman" w:hAnsi="Times New Roman"/>
                <w:b/>
                <w:sz w:val="18"/>
              </w:rPr>
              <w:t>Date Randomized</w:t>
            </w:r>
          </w:p>
        </w:tc>
        <w:tc>
          <w:tcPr>
            <w:tcW w:type="dxa" w:w="1520"/>
            <w:shd w:fill="F2F2F2" w:val="clear"/>
            <w:tcBorders>
              <w:bottom w:val="single" w:sz="4" w:space="0" w:color="000000"/>
            </w:tcBorders>
          </w:tcPr>
          <w:p>
            <w:pPr>
              <w:jc w:val="center"/>
            </w:pPr>
            <w:r>
              <w:rPr>
                <w:rFonts w:ascii="Times New Roman" w:hAnsi="Times New Roman"/>
                <w:b/>
                <w:sz w:val="18"/>
              </w:rPr>
              <w:t>Date of First Dose</w:t>
            </w:r>
          </w:p>
        </w:tc>
        <w:tc>
          <w:tcPr>
            <w:tcW w:type="dxa" w:w="1520"/>
            <w:shd w:fill="F2F2F2" w:val="clear"/>
            <w:tcBorders>
              <w:bottom w:val="single" w:sz="4" w:space="0" w:color="000000"/>
            </w:tcBorders>
          </w:tcPr>
          <w:p>
            <w:pPr>
              <w:jc w:val="center"/>
            </w:pPr>
            <w:r>
              <w:rPr>
                <w:rFonts w:ascii="Times New Roman" w:hAnsi="Times New Roman"/>
                <w:b/>
                <w:sz w:val="18"/>
              </w:rPr>
              <w:t>Date of Last Dose</w:t>
            </w:r>
          </w:p>
        </w:tc>
        <w:tc>
          <w:tcPr>
            <w:tcW w:type="dxa" w:w="1520"/>
            <w:shd w:fill="F2F2F2" w:val="clear"/>
            <w:tcBorders>
              <w:bottom w:val="single" w:sz="4" w:space="0" w:color="000000"/>
            </w:tcBorders>
          </w:tcPr>
          <w:p>
            <w:pPr>
              <w:jc w:val="center"/>
            </w:pPr>
            <w:r>
              <w:rPr>
                <w:rFonts w:ascii="Times New Roman" w:hAnsi="Times New Roman"/>
                <w:b/>
                <w:sz w:val="18"/>
              </w:rPr>
              <w:t>Completed Treatment?</w:t>
            </w:r>
          </w:p>
        </w:tc>
        <w:tc>
          <w:tcPr>
            <w:tcW w:type="dxa" w:w="1520"/>
            <w:shd w:fill="F2F2F2" w:val="clear"/>
            <w:tcBorders>
              <w:bottom w:val="single" w:sz="4" w:space="0" w:color="000000"/>
            </w:tcBorders>
          </w:tcPr>
          <w:p>
            <w:pPr>
              <w:jc w:val="center"/>
            </w:pPr>
            <w:r>
              <w:rPr>
                <w:rFonts w:ascii="Times New Roman" w:hAnsi="Times New Roman"/>
                <w:b/>
                <w:sz w:val="18"/>
              </w:rPr>
              <w:t>Reason for Discontinuation</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Yes/No</w:t>
            </w:r>
          </w:p>
        </w:tc>
        <w:tc>
          <w:tcPr>
            <w:tcW w:type="dxa" w:w="1520"/>
          </w:tcPr>
          <w:p>
            <w:pPr>
              <w:spacing w:before="20" w:after="20" w:line="240" w:lineRule="exact"/>
              <w:jc w:val="center"/>
            </w:pPr>
            <w:r>
              <w:rPr>
                <w:rFonts w:ascii="Times New Roman" w:hAnsi="Times New Roman"/>
                <w:b w:val="0"/>
                <w:sz w:val="16"/>
              </w:rPr>
              <w:t>Reason / xxxxxxx</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Sorted by site, subject ID. Refer to EOT/Study Completion CRF pages.</w:t>
      </w:r>
    </w:p>
    <w:p>
      <w:pPr>
        <w:spacing w:before="0" w:after="0"/>
      </w:pPr>
      <w:r>
        <w:rPr>
          <w:rFonts w:ascii="Times New Roman" w:hAnsi="Times New Roman"/>
          <w:i/>
          <w:sz w:val="16"/>
        </w:rPr>
        <w:t>[2] Dataset: ADSL. Program: l_disposition.sas.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  Listing of Demographic Data</w:t>
      </w:r>
      <w:r>
        <w:bookmarkStart w:id="0" w:name="L16.2.2"/>
        <w:bookmarkEnd w:id="0"/>
      </w:r>
    </w:p>
    <w:p>
      <w:pPr>
        <w:keepNext/>
        <w:spacing w:before="40" w:after="160"/>
      </w:pPr>
      <w:r>
        <w:rPr>
          <w:rFonts w:ascii="Times New Roman" w:hAnsi="Times New Roman"/>
          <w:i/>
          <w:sz w:val="18"/>
        </w:rPr>
        <w:t>Analysis Set: All Randomized Subjects</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Age (yrs)</w:t>
            </w:r>
          </w:p>
        </w:tc>
        <w:tc>
          <w:tcPr>
            <w:tcW w:type="dxa" w:w="1520"/>
            <w:shd w:fill="F2F2F2" w:val="clear"/>
            <w:tcBorders>
              <w:bottom w:val="single" w:sz="4" w:space="0" w:color="000000"/>
            </w:tcBorders>
          </w:tcPr>
          <w:p>
            <w:pPr>
              <w:jc w:val="center"/>
            </w:pPr>
            <w:r>
              <w:rPr>
                <w:rFonts w:ascii="Times New Roman" w:hAnsi="Times New Roman"/>
                <w:b/>
                <w:sz w:val="18"/>
              </w:rPr>
              <w:t>Sex</w:t>
            </w:r>
          </w:p>
        </w:tc>
        <w:tc>
          <w:tcPr>
            <w:tcW w:type="dxa" w:w="1520"/>
            <w:shd w:fill="F2F2F2" w:val="clear"/>
            <w:tcBorders>
              <w:bottom w:val="single" w:sz="4" w:space="0" w:color="000000"/>
            </w:tcBorders>
          </w:tcPr>
          <w:p>
            <w:pPr>
              <w:jc w:val="center"/>
            </w:pPr>
            <w:r>
              <w:rPr>
                <w:rFonts w:ascii="Times New Roman" w:hAnsi="Times New Roman"/>
                <w:b/>
                <w:sz w:val="18"/>
              </w:rPr>
              <w:t>Race</w:t>
            </w:r>
          </w:p>
        </w:tc>
        <w:tc>
          <w:tcPr>
            <w:tcW w:type="dxa" w:w="1520"/>
            <w:shd w:fill="F2F2F2" w:val="clear"/>
            <w:tcBorders>
              <w:bottom w:val="single" w:sz="4" w:space="0" w:color="000000"/>
            </w:tcBorders>
          </w:tcPr>
          <w:p>
            <w:pPr>
              <w:jc w:val="center"/>
            </w:pPr>
            <w:r>
              <w:rPr>
                <w:rFonts w:ascii="Times New Roman" w:hAnsi="Times New Roman"/>
                <w:b/>
                <w:sz w:val="18"/>
              </w:rPr>
              <w:t>Height (cm)</w:t>
            </w:r>
          </w:p>
        </w:tc>
        <w:tc>
          <w:tcPr>
            <w:tcW w:type="dxa" w:w="1520"/>
            <w:shd w:fill="F2F2F2" w:val="clear"/>
            <w:tcBorders>
              <w:bottom w:val="single" w:sz="4" w:space="0" w:color="000000"/>
            </w:tcBorders>
          </w:tcPr>
          <w:p>
            <w:pPr>
              <w:jc w:val="center"/>
            </w:pPr>
            <w:r>
              <w:rPr>
                <w:rFonts w:ascii="Times New Roman" w:hAnsi="Times New Roman"/>
                <w:b/>
                <w:sz w:val="18"/>
              </w:rPr>
              <w:t>Weight (kg)</w:t>
            </w:r>
          </w:p>
        </w:tc>
        <w:tc>
          <w:tcPr>
            <w:tcW w:type="dxa" w:w="1520"/>
            <w:shd w:fill="F2F2F2" w:val="clear"/>
            <w:tcBorders>
              <w:bottom w:val="single" w:sz="4" w:space="0" w:color="000000"/>
            </w:tcBorders>
          </w:tcPr>
          <w:p>
            <w:pPr>
              <w:jc w:val="center"/>
            </w:pPr>
            <w:r>
              <w:rPr>
                <w:rFonts w:ascii="Times New Roman" w:hAnsi="Times New Roman"/>
                <w:b/>
                <w:sz w:val="18"/>
              </w:rPr>
              <w:t>BMI (kg/m²)</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xx</w:t>
            </w:r>
          </w:p>
        </w:tc>
        <w:tc>
          <w:tcPr>
            <w:tcW w:type="dxa" w:w="1520"/>
          </w:tcPr>
          <w:p>
            <w:pPr>
              <w:spacing w:before="20" w:after="20" w:line="240" w:lineRule="exact"/>
              <w:jc w:val="center"/>
            </w:pPr>
            <w:r>
              <w:rPr>
                <w:rFonts w:ascii="Times New Roman" w:hAnsi="Times New Roman"/>
                <w:b w:val="0"/>
                <w:sz w:val="16"/>
              </w:rPr>
              <w:t>M/F</w:t>
            </w:r>
          </w:p>
        </w:tc>
        <w:tc>
          <w:tcPr>
            <w:tcW w:type="dxa" w:w="1520"/>
          </w:tcPr>
          <w:p>
            <w:pPr>
              <w:spacing w:before="20" w:after="20" w:line="240" w:lineRule="exact"/>
              <w:jc w:val="center"/>
            </w:pPr>
            <w:r>
              <w:rPr>
                <w:rFonts w:ascii="Times New Roman" w:hAnsi="Times New Roman"/>
                <w:b w:val="0"/>
                <w:sz w:val="16"/>
              </w:rPr>
              <w:t>Race</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Program: l_demog.sas.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  Listing of Protocol Deviations</w:t>
      </w:r>
      <w:r>
        <w:bookmarkStart w:id="0" w:name="L16.2.3"/>
        <w:bookmarkEnd w:id="0"/>
      </w:r>
    </w:p>
    <w:p>
      <w:pPr>
        <w:keepNext/>
        <w:spacing w:before="40" w:after="160"/>
      </w:pPr>
      <w:r>
        <w:rPr>
          <w:rFonts w:ascii="Times New Roman" w:hAnsi="Times New Roman"/>
          <w:i/>
          <w:sz w:val="18"/>
        </w:rPr>
        <w:t>Analysis Set: All Enrolled Subjects</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54"/>
        <w:gridCol w:w="1954"/>
        <w:gridCol w:w="1954"/>
        <w:gridCol w:w="1954"/>
        <w:gridCol w:w="1954"/>
        <w:gridCol w:w="1954"/>
        <w:gridCol w:w="1954"/>
      </w:tblGrid>
      <w:tr>
        <w:trPr>
          <w:tblHeader w:val="true"/>
        </w:trPr>
        <w:tc>
          <w:tcPr>
            <w:tcW w:type="dxa" w:w="1954"/>
            <w:shd w:fill="F2F2F2" w:val="clear"/>
            <w:tcBorders>
              <w:bottom w:val="single" w:sz="4" w:space="0" w:color="000000"/>
            </w:tcBorders>
          </w:tcPr>
          <w:p>
            <w:pPr>
              <w:jc w:val="left"/>
            </w:pPr>
            <w:r>
              <w:rPr>
                <w:rFonts w:ascii="Times New Roman" w:hAnsi="Times New Roman"/>
                <w:b/>
                <w:sz w:val="18"/>
              </w:rPr>
              <w:t>Site</w:t>
            </w:r>
          </w:p>
        </w:tc>
        <w:tc>
          <w:tcPr>
            <w:tcW w:type="dxa" w:w="1954"/>
            <w:shd w:fill="F2F2F2" w:val="clear"/>
            <w:tcBorders>
              <w:bottom w:val="single" w:sz="4" w:space="0" w:color="000000"/>
            </w:tcBorders>
          </w:tcPr>
          <w:p>
            <w:pPr>
              <w:jc w:val="center"/>
            </w:pPr>
            <w:r>
              <w:rPr>
                <w:rFonts w:ascii="Times New Roman" w:hAnsi="Times New Roman"/>
                <w:b/>
                <w:sz w:val="18"/>
              </w:rPr>
              <w:t>Subject</w:t>
            </w:r>
          </w:p>
        </w:tc>
        <w:tc>
          <w:tcPr>
            <w:tcW w:type="dxa" w:w="1954"/>
            <w:shd w:fill="F2F2F2" w:val="clear"/>
            <w:tcBorders>
              <w:bottom w:val="single" w:sz="4" w:space="0" w:color="000000"/>
            </w:tcBorders>
          </w:tcPr>
          <w:p>
            <w:pPr>
              <w:jc w:val="center"/>
            </w:pPr>
            <w:r>
              <w:rPr>
                <w:rFonts w:ascii="Times New Roman" w:hAnsi="Times New Roman"/>
                <w:b/>
                <w:sz w:val="18"/>
              </w:rPr>
              <w:t>Group</w:t>
            </w:r>
          </w:p>
        </w:tc>
        <w:tc>
          <w:tcPr>
            <w:tcW w:type="dxa" w:w="1954"/>
            <w:shd w:fill="F2F2F2" w:val="clear"/>
            <w:tcBorders>
              <w:bottom w:val="single" w:sz="4" w:space="0" w:color="000000"/>
            </w:tcBorders>
          </w:tcPr>
          <w:p>
            <w:pPr>
              <w:jc w:val="center"/>
            </w:pPr>
            <w:r>
              <w:rPr>
                <w:rFonts w:ascii="Times New Roman" w:hAnsi="Times New Roman"/>
                <w:b/>
                <w:sz w:val="18"/>
              </w:rPr>
              <w:t>Deviation Category</w:t>
            </w:r>
          </w:p>
        </w:tc>
        <w:tc>
          <w:tcPr>
            <w:tcW w:type="dxa" w:w="1954"/>
            <w:shd w:fill="F2F2F2" w:val="clear"/>
            <w:tcBorders>
              <w:bottom w:val="single" w:sz="4" w:space="0" w:color="000000"/>
            </w:tcBorders>
          </w:tcPr>
          <w:p>
            <w:pPr>
              <w:jc w:val="center"/>
            </w:pPr>
            <w:r>
              <w:rPr>
                <w:rFonts w:ascii="Times New Roman" w:hAnsi="Times New Roman"/>
                <w:b/>
                <w:sz w:val="18"/>
              </w:rPr>
              <w:t>Deviation Description</w:t>
            </w:r>
          </w:p>
        </w:tc>
        <w:tc>
          <w:tcPr>
            <w:tcW w:type="dxa" w:w="1954"/>
            <w:shd w:fill="F2F2F2" w:val="clear"/>
            <w:tcBorders>
              <w:bottom w:val="single" w:sz="4" w:space="0" w:color="000000"/>
            </w:tcBorders>
          </w:tcPr>
          <w:p>
            <w:pPr>
              <w:jc w:val="center"/>
            </w:pPr>
            <w:r>
              <w:rPr>
                <w:rFonts w:ascii="Times New Roman" w:hAnsi="Times New Roman"/>
                <w:b/>
                <w:sz w:val="18"/>
              </w:rPr>
              <w:t>Date of Deviation</w:t>
            </w:r>
          </w:p>
        </w:tc>
        <w:tc>
          <w:tcPr>
            <w:tcW w:type="dxa" w:w="1954"/>
            <w:shd w:fill="F2F2F2" w:val="clear"/>
            <w:tcBorders>
              <w:bottom w:val="single" w:sz="4" w:space="0" w:color="000000"/>
            </w:tcBorders>
          </w:tcPr>
          <w:p>
            <w:pPr>
              <w:jc w:val="center"/>
            </w:pPr>
            <w:r>
              <w:rPr>
                <w:rFonts w:ascii="Times New Roman" w:hAnsi="Times New Roman"/>
                <w:b/>
                <w:sz w:val="18"/>
              </w:rPr>
              <w:t>Major/Minor</w:t>
            </w:r>
          </w:p>
        </w:tc>
      </w:tr>
      <w:tr>
        <w:tc>
          <w:tcPr>
            <w:tcW w:type="dxa" w:w="1954"/>
          </w:tcPr>
          <w:p>
            <w:pPr>
              <w:spacing w:before="20" w:after="20" w:line="240" w:lineRule="exact"/>
              <w:jc w:val="left"/>
            </w:pPr>
            <w:r>
              <w:rPr>
                <w:rFonts w:ascii="Times New Roman" w:hAnsi="Times New Roman"/>
                <w:b w:val="0"/>
                <w:sz w:val="16"/>
              </w:rPr>
              <w:t>xxx</w:t>
            </w:r>
          </w:p>
        </w:tc>
        <w:tc>
          <w:tcPr>
            <w:tcW w:type="dxa" w:w="1954"/>
          </w:tcPr>
          <w:p>
            <w:pPr>
              <w:spacing w:before="20" w:after="20" w:line="240" w:lineRule="exact"/>
              <w:jc w:val="center"/>
            </w:pPr>
            <w:r>
              <w:rPr>
                <w:rFonts w:ascii="Times New Roman" w:hAnsi="Times New Roman"/>
                <w:b w:val="0"/>
                <w:sz w:val="16"/>
              </w:rPr>
              <w:t>xxxx/xxx</w:t>
            </w:r>
          </w:p>
        </w:tc>
        <w:tc>
          <w:tcPr>
            <w:tcW w:type="dxa" w:w="1954"/>
          </w:tcPr>
          <w:p>
            <w:pPr>
              <w:spacing w:before="20" w:after="20" w:line="240" w:lineRule="exact"/>
              <w:jc w:val="center"/>
            </w:pPr>
            <w:r>
              <w:rPr>
                <w:rFonts w:ascii="Times New Roman" w:hAnsi="Times New Roman"/>
                <w:b w:val="0"/>
                <w:sz w:val="16"/>
              </w:rPr>
              <w:t>Group</w:t>
            </w:r>
          </w:p>
        </w:tc>
        <w:tc>
          <w:tcPr>
            <w:tcW w:type="dxa" w:w="1954"/>
          </w:tcPr>
          <w:p>
            <w:pPr>
              <w:spacing w:before="20" w:after="20" w:line="240" w:lineRule="exact"/>
              <w:jc w:val="center"/>
            </w:pPr>
            <w:r>
              <w:rPr>
                <w:rFonts w:ascii="Times New Roman" w:hAnsi="Times New Roman"/>
                <w:b w:val="0"/>
                <w:sz w:val="16"/>
              </w:rPr>
              <w:t>Category</w:t>
            </w:r>
          </w:p>
        </w:tc>
        <w:tc>
          <w:tcPr>
            <w:tcW w:type="dxa" w:w="1954"/>
          </w:tcPr>
          <w:p>
            <w:pPr>
              <w:spacing w:before="20" w:after="20" w:line="240" w:lineRule="exact"/>
              <w:jc w:val="center"/>
            </w:pPr>
            <w:r>
              <w:rPr>
                <w:rFonts w:ascii="Times New Roman" w:hAnsi="Times New Roman"/>
                <w:b w:val="0"/>
                <w:sz w:val="16"/>
              </w:rPr>
              <w:t>Description text xxxxxxx</w:t>
            </w:r>
          </w:p>
        </w:tc>
        <w:tc>
          <w:tcPr>
            <w:tcW w:type="dxa" w:w="1954"/>
          </w:tcPr>
          <w:p>
            <w:pPr>
              <w:spacing w:before="20" w:after="20" w:line="240" w:lineRule="exact"/>
              <w:jc w:val="center"/>
            </w:pPr>
            <w:r>
              <w:rPr>
                <w:rFonts w:ascii="Times New Roman" w:hAnsi="Times New Roman"/>
                <w:b w:val="0"/>
                <w:sz w:val="16"/>
              </w:rPr>
              <w:t>DDMMMYYYY</w:t>
            </w:r>
          </w:p>
        </w:tc>
        <w:tc>
          <w:tcPr>
            <w:tcW w:type="dxa" w:w="1954"/>
          </w:tcPr>
          <w:p>
            <w:pPr>
              <w:spacing w:before="20" w:after="20" w:line="240" w:lineRule="exact"/>
              <w:jc w:val="center"/>
            </w:pPr>
            <w:r>
              <w:rPr>
                <w:rFonts w:ascii="Times New Roman" w:hAnsi="Times New Roman"/>
                <w:b w:val="0"/>
                <w:sz w:val="16"/>
              </w:rPr>
              <w:t>Major/Minor</w:t>
            </w:r>
          </w:p>
        </w:tc>
      </w:tr>
      <w:tr>
        <w:tc>
          <w:tcPr>
            <w:tcW w:type="dxa" w:w="1954"/>
          </w:tcPr>
          <w:p>
            <w:pPr>
              <w:spacing w:before="20" w:after="20" w:line="240" w:lineRule="exact"/>
              <w:jc w:val="left"/>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DV. Program: l_protdev.sas.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16.2.4  Listing of Adverse Events</w:t>
      </w:r>
      <w:r>
        <w:bookmarkStart w:id="0" w:name="L16.2.4"/>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052"/>
        <w:gridCol w:w="1052"/>
        <w:gridCol w:w="1052"/>
        <w:gridCol w:w="1052"/>
        <w:gridCol w:w="1052"/>
        <w:gridCol w:w="1052"/>
        <w:gridCol w:w="1052"/>
        <w:gridCol w:w="1052"/>
        <w:gridCol w:w="1052"/>
        <w:gridCol w:w="1052"/>
        <w:gridCol w:w="1052"/>
        <w:gridCol w:w="1052"/>
        <w:gridCol w:w="1052"/>
      </w:tblGrid>
      <w:tr>
        <w:trPr>
          <w:tblHeader w:val="true"/>
        </w:trPr>
        <w:tc>
          <w:tcPr>
            <w:tcW w:type="dxa" w:w="1052"/>
            <w:shd w:fill="F2F2F2" w:val="clear"/>
            <w:tcBorders>
              <w:bottom w:val="single" w:sz="4" w:space="0" w:color="000000"/>
            </w:tcBorders>
          </w:tcPr>
          <w:p>
            <w:pPr>
              <w:jc w:val="left"/>
            </w:pPr>
            <w:r>
              <w:rPr>
                <w:rFonts w:ascii="Times New Roman" w:hAnsi="Times New Roman"/>
                <w:b/>
                <w:sz w:val="18"/>
              </w:rPr>
              <w:t>Site</w:t>
            </w:r>
          </w:p>
        </w:tc>
        <w:tc>
          <w:tcPr>
            <w:tcW w:type="dxa" w:w="1052"/>
            <w:shd w:fill="F2F2F2" w:val="clear"/>
            <w:tcBorders>
              <w:bottom w:val="single" w:sz="4" w:space="0" w:color="000000"/>
            </w:tcBorders>
          </w:tcPr>
          <w:p>
            <w:pPr>
              <w:jc w:val="center"/>
            </w:pPr>
            <w:r>
              <w:rPr>
                <w:rFonts w:ascii="Times New Roman" w:hAnsi="Times New Roman"/>
                <w:b/>
                <w:sz w:val="18"/>
              </w:rPr>
              <w:t>Subject</w:t>
            </w:r>
          </w:p>
        </w:tc>
        <w:tc>
          <w:tcPr>
            <w:tcW w:type="dxa" w:w="1052"/>
            <w:shd w:fill="F2F2F2" w:val="clear"/>
            <w:tcBorders>
              <w:bottom w:val="single" w:sz="4" w:space="0" w:color="000000"/>
            </w:tcBorders>
          </w:tcPr>
          <w:p>
            <w:pPr>
              <w:jc w:val="center"/>
            </w:pPr>
            <w:r>
              <w:rPr>
                <w:rFonts w:ascii="Times New Roman" w:hAnsi="Times New Roman"/>
                <w:b/>
                <w:sz w:val="18"/>
              </w:rPr>
              <w:t>Group</w:t>
            </w:r>
          </w:p>
        </w:tc>
        <w:tc>
          <w:tcPr>
            <w:tcW w:type="dxa" w:w="1052"/>
            <w:shd w:fill="F2F2F2" w:val="clear"/>
            <w:tcBorders>
              <w:bottom w:val="single" w:sz="4" w:space="0" w:color="000000"/>
            </w:tcBorders>
          </w:tcPr>
          <w:p>
            <w:pPr>
              <w:jc w:val="center"/>
            </w:pPr>
            <w:r>
              <w:rPr>
                <w:rFonts w:ascii="Times New Roman" w:hAnsi="Times New Roman"/>
                <w:b/>
                <w:sz w:val="18"/>
              </w:rPr>
              <w:t>SOC</w:t>
            </w:r>
          </w:p>
        </w:tc>
        <w:tc>
          <w:tcPr>
            <w:tcW w:type="dxa" w:w="1052"/>
            <w:shd w:fill="F2F2F2" w:val="clear"/>
            <w:tcBorders>
              <w:bottom w:val="single" w:sz="4" w:space="0" w:color="000000"/>
            </w:tcBorders>
          </w:tcPr>
          <w:p>
            <w:pPr>
              <w:jc w:val="center"/>
            </w:pPr>
            <w:r>
              <w:rPr>
                <w:rFonts w:ascii="Times New Roman" w:hAnsi="Times New Roman"/>
                <w:b/>
                <w:sz w:val="18"/>
              </w:rPr>
              <w:t>Preferred Term</w:t>
            </w:r>
          </w:p>
        </w:tc>
        <w:tc>
          <w:tcPr>
            <w:tcW w:type="dxa" w:w="1052"/>
            <w:shd w:fill="F2F2F2" w:val="clear"/>
            <w:tcBorders>
              <w:bottom w:val="single" w:sz="4" w:space="0" w:color="000000"/>
            </w:tcBorders>
          </w:tcPr>
          <w:p>
            <w:pPr>
              <w:jc w:val="center"/>
            </w:pPr>
            <w:r>
              <w:rPr>
                <w:rFonts w:ascii="Times New Roman" w:hAnsi="Times New Roman"/>
                <w:b/>
                <w:sz w:val="18"/>
              </w:rPr>
              <w:t>Verbatim Term</w:t>
            </w:r>
          </w:p>
        </w:tc>
        <w:tc>
          <w:tcPr>
            <w:tcW w:type="dxa" w:w="1052"/>
            <w:shd w:fill="F2F2F2" w:val="clear"/>
            <w:tcBorders>
              <w:bottom w:val="single" w:sz="4" w:space="0" w:color="000000"/>
            </w:tcBorders>
          </w:tcPr>
          <w:p>
            <w:pPr>
              <w:jc w:val="center"/>
            </w:pPr>
            <w:r>
              <w:rPr>
                <w:rFonts w:ascii="Times New Roman" w:hAnsi="Times New Roman"/>
                <w:b/>
                <w:sz w:val="18"/>
              </w:rPr>
              <w:t>Start Date</w:t>
            </w:r>
          </w:p>
        </w:tc>
        <w:tc>
          <w:tcPr>
            <w:tcW w:type="dxa" w:w="1052"/>
            <w:shd w:fill="F2F2F2" w:val="clear"/>
            <w:tcBorders>
              <w:bottom w:val="single" w:sz="4" w:space="0" w:color="000000"/>
            </w:tcBorders>
          </w:tcPr>
          <w:p>
            <w:pPr>
              <w:jc w:val="center"/>
            </w:pPr>
            <w:r>
              <w:rPr>
                <w:rFonts w:ascii="Times New Roman" w:hAnsi="Times New Roman"/>
                <w:b/>
                <w:sz w:val="18"/>
              </w:rPr>
              <w:t>End Date</w:t>
            </w:r>
          </w:p>
        </w:tc>
        <w:tc>
          <w:tcPr>
            <w:tcW w:type="dxa" w:w="1052"/>
            <w:shd w:fill="F2F2F2" w:val="clear"/>
            <w:tcBorders>
              <w:bottom w:val="single" w:sz="4" w:space="0" w:color="000000"/>
            </w:tcBorders>
          </w:tcPr>
          <w:p>
            <w:pPr>
              <w:jc w:val="center"/>
            </w:pPr>
            <w:r>
              <w:rPr>
                <w:rFonts w:ascii="Times New Roman" w:hAnsi="Times New Roman"/>
                <w:b/>
                <w:sz w:val="18"/>
              </w:rPr>
              <w:t>CTCAE Grade</w:t>
            </w:r>
          </w:p>
        </w:tc>
        <w:tc>
          <w:tcPr>
            <w:tcW w:type="dxa" w:w="1052"/>
            <w:shd w:fill="F2F2F2" w:val="clear"/>
            <w:tcBorders>
              <w:bottom w:val="single" w:sz="4" w:space="0" w:color="000000"/>
            </w:tcBorders>
          </w:tcPr>
          <w:p>
            <w:pPr>
              <w:jc w:val="center"/>
            </w:pPr>
            <w:r>
              <w:rPr>
                <w:rFonts w:ascii="Times New Roman" w:hAnsi="Times New Roman"/>
                <w:b/>
                <w:sz w:val="18"/>
              </w:rPr>
              <w:t>Relationship</w:t>
            </w:r>
          </w:p>
        </w:tc>
        <w:tc>
          <w:tcPr>
            <w:tcW w:type="dxa" w:w="1052"/>
            <w:shd w:fill="F2F2F2" w:val="clear"/>
            <w:tcBorders>
              <w:bottom w:val="single" w:sz="4" w:space="0" w:color="000000"/>
            </w:tcBorders>
          </w:tcPr>
          <w:p>
            <w:pPr>
              <w:jc w:val="center"/>
            </w:pPr>
            <w:r>
              <w:rPr>
                <w:rFonts w:ascii="Times New Roman" w:hAnsi="Times New Roman"/>
                <w:b/>
                <w:sz w:val="18"/>
              </w:rPr>
              <w:t>SAE?</w:t>
            </w:r>
          </w:p>
        </w:tc>
        <w:tc>
          <w:tcPr>
            <w:tcW w:type="dxa" w:w="1052"/>
            <w:shd w:fill="F2F2F2" w:val="clear"/>
            <w:tcBorders>
              <w:bottom w:val="single" w:sz="4" w:space="0" w:color="000000"/>
            </w:tcBorders>
          </w:tcPr>
          <w:p>
            <w:pPr>
              <w:jc w:val="center"/>
            </w:pPr>
            <w:r>
              <w:rPr>
                <w:rFonts w:ascii="Times New Roman" w:hAnsi="Times New Roman"/>
                <w:b/>
                <w:sz w:val="18"/>
              </w:rPr>
              <w:t>Action</w:t>
            </w:r>
          </w:p>
        </w:tc>
        <w:tc>
          <w:tcPr>
            <w:tcW w:type="dxa" w:w="1052"/>
            <w:shd w:fill="F2F2F2" w:val="clear"/>
            <w:tcBorders>
              <w:bottom w:val="single" w:sz="4" w:space="0" w:color="000000"/>
            </w:tcBorders>
          </w:tcPr>
          <w:p>
            <w:pPr>
              <w:jc w:val="center"/>
            </w:pPr>
            <w:r>
              <w:rPr>
                <w:rFonts w:ascii="Times New Roman" w:hAnsi="Times New Roman"/>
                <w:b/>
                <w:sz w:val="18"/>
              </w:rPr>
              <w:t>Outcome</w:t>
            </w:r>
          </w:p>
        </w:tc>
      </w:tr>
      <w:tr>
        <w:tc>
          <w:tcPr>
            <w:tcW w:type="dxa" w:w="1052"/>
          </w:tcPr>
          <w:p>
            <w:pPr>
              <w:spacing w:before="20" w:after="20" w:line="240" w:lineRule="exact"/>
              <w:jc w:val="left"/>
            </w:pPr>
            <w:r>
              <w:rPr>
                <w:rFonts w:ascii="Times New Roman" w:hAnsi="Times New Roman"/>
                <w:b w:val="0"/>
                <w:sz w:val="16"/>
              </w:rPr>
              <w:t>xxx</w:t>
            </w:r>
          </w:p>
        </w:tc>
        <w:tc>
          <w:tcPr>
            <w:tcW w:type="dxa" w:w="1052"/>
          </w:tcPr>
          <w:p>
            <w:pPr>
              <w:spacing w:before="20" w:after="20" w:line="240" w:lineRule="exact"/>
              <w:jc w:val="center"/>
            </w:pPr>
            <w:r>
              <w:rPr>
                <w:rFonts w:ascii="Times New Roman" w:hAnsi="Times New Roman"/>
                <w:b w:val="0"/>
                <w:sz w:val="16"/>
              </w:rPr>
              <w:t>xxxx/xxx</w:t>
            </w:r>
          </w:p>
        </w:tc>
        <w:tc>
          <w:tcPr>
            <w:tcW w:type="dxa" w:w="1052"/>
          </w:tcPr>
          <w:p>
            <w:pPr>
              <w:spacing w:before="20" w:after="20" w:line="240" w:lineRule="exact"/>
              <w:jc w:val="center"/>
            </w:pPr>
            <w:r>
              <w:rPr>
                <w:rFonts w:ascii="Times New Roman" w:hAnsi="Times New Roman"/>
                <w:b w:val="0"/>
                <w:sz w:val="16"/>
              </w:rPr>
              <w:t>Group</w:t>
            </w:r>
          </w:p>
        </w:tc>
        <w:tc>
          <w:tcPr>
            <w:tcW w:type="dxa" w:w="1052"/>
          </w:tcPr>
          <w:p>
            <w:pPr>
              <w:spacing w:before="20" w:after="20" w:line="240" w:lineRule="exact"/>
              <w:jc w:val="center"/>
            </w:pPr>
            <w:r>
              <w:rPr>
                <w:rFonts w:ascii="Times New Roman" w:hAnsi="Times New Roman"/>
                <w:b w:val="0"/>
                <w:sz w:val="16"/>
              </w:rPr>
              <w:t>GI disorders</w:t>
            </w:r>
          </w:p>
        </w:tc>
        <w:tc>
          <w:tcPr>
            <w:tcW w:type="dxa" w:w="1052"/>
          </w:tcPr>
          <w:p>
            <w:pPr>
              <w:spacing w:before="20" w:after="20" w:line="240" w:lineRule="exact"/>
              <w:jc w:val="center"/>
            </w:pPr>
            <w:r>
              <w:rPr>
                <w:rFonts w:ascii="Times New Roman" w:hAnsi="Times New Roman"/>
                <w:b w:val="0"/>
                <w:sz w:val="16"/>
              </w:rPr>
              <w:t>Nausea</w:t>
            </w:r>
          </w:p>
        </w:tc>
        <w:tc>
          <w:tcPr>
            <w:tcW w:type="dxa" w:w="1052"/>
          </w:tcPr>
          <w:p>
            <w:pPr>
              <w:spacing w:before="20" w:after="20" w:line="240" w:lineRule="exact"/>
              <w:jc w:val="center"/>
            </w:pPr>
            <w:r>
              <w:rPr>
                <w:rFonts w:ascii="Times New Roman" w:hAnsi="Times New Roman"/>
                <w:b w:val="0"/>
                <w:sz w:val="16"/>
              </w:rPr>
              <w:t>Nausea (Verbatim)</w:t>
            </w:r>
          </w:p>
        </w:tc>
        <w:tc>
          <w:tcPr>
            <w:tcW w:type="dxa" w:w="1052"/>
          </w:tcPr>
          <w:p>
            <w:pPr>
              <w:spacing w:before="20" w:after="20" w:line="240" w:lineRule="exact"/>
              <w:jc w:val="center"/>
            </w:pPr>
            <w:r>
              <w:rPr>
                <w:rFonts w:ascii="Times New Roman" w:hAnsi="Times New Roman"/>
                <w:b w:val="0"/>
                <w:sz w:val="16"/>
              </w:rPr>
              <w:t>DDMMMYYYY</w:t>
            </w:r>
          </w:p>
        </w:tc>
        <w:tc>
          <w:tcPr>
            <w:tcW w:type="dxa" w:w="1052"/>
          </w:tcPr>
          <w:p>
            <w:pPr>
              <w:spacing w:before="20" w:after="20" w:line="240" w:lineRule="exact"/>
              <w:jc w:val="center"/>
            </w:pPr>
            <w:r>
              <w:rPr>
                <w:rFonts w:ascii="Times New Roman" w:hAnsi="Times New Roman"/>
                <w:b w:val="0"/>
                <w:sz w:val="16"/>
              </w:rPr>
              <w:t>DDMMMYYYY</w:t>
            </w:r>
          </w:p>
        </w:tc>
        <w:tc>
          <w:tcPr>
            <w:tcW w:type="dxa" w:w="1052"/>
          </w:tcPr>
          <w:p>
            <w:pPr>
              <w:spacing w:before="20" w:after="20" w:line="240" w:lineRule="exact"/>
              <w:jc w:val="center"/>
            </w:pPr>
            <w:r>
              <w:rPr>
                <w:rFonts w:ascii="Times New Roman" w:hAnsi="Times New Roman"/>
                <w:b w:val="0"/>
                <w:sz w:val="16"/>
              </w:rPr>
              <w:t>x</w:t>
            </w:r>
          </w:p>
        </w:tc>
        <w:tc>
          <w:tcPr>
            <w:tcW w:type="dxa" w:w="1052"/>
          </w:tcPr>
          <w:p>
            <w:pPr>
              <w:spacing w:before="20" w:after="20" w:line="240" w:lineRule="exact"/>
              <w:jc w:val="center"/>
            </w:pPr>
            <w:r>
              <w:rPr>
                <w:rFonts w:ascii="Times New Roman" w:hAnsi="Times New Roman"/>
                <w:b w:val="0"/>
                <w:sz w:val="16"/>
              </w:rPr>
              <w:t>R/NR</w:t>
            </w:r>
          </w:p>
        </w:tc>
        <w:tc>
          <w:tcPr>
            <w:tcW w:type="dxa" w:w="1052"/>
          </w:tcPr>
          <w:p>
            <w:pPr>
              <w:spacing w:before="20" w:after="20" w:line="240" w:lineRule="exact"/>
              <w:jc w:val="center"/>
            </w:pPr>
            <w:r>
              <w:rPr>
                <w:rFonts w:ascii="Times New Roman" w:hAnsi="Times New Roman"/>
                <w:b w:val="0"/>
                <w:sz w:val="16"/>
              </w:rPr>
              <w:t>Y/N</w:t>
            </w:r>
          </w:p>
        </w:tc>
        <w:tc>
          <w:tcPr>
            <w:tcW w:type="dxa" w:w="1052"/>
          </w:tcPr>
          <w:p>
            <w:pPr>
              <w:spacing w:before="20" w:after="20" w:line="240" w:lineRule="exact"/>
              <w:jc w:val="center"/>
            </w:pPr>
            <w:r>
              <w:rPr>
                <w:rFonts w:ascii="Times New Roman" w:hAnsi="Times New Roman"/>
                <w:b w:val="0"/>
                <w:sz w:val="16"/>
              </w:rPr>
              <w:t>N/DR/DI/DW</w:t>
            </w:r>
          </w:p>
        </w:tc>
        <w:tc>
          <w:tcPr>
            <w:tcW w:type="dxa" w:w="1052"/>
          </w:tcPr>
          <w:p>
            <w:pPr>
              <w:spacing w:before="20" w:after="20" w:line="240" w:lineRule="exact"/>
              <w:jc w:val="center"/>
            </w:pPr>
            <w:r>
              <w:rPr>
                <w:rFonts w:ascii="Times New Roman" w:hAnsi="Times New Roman"/>
                <w:b w:val="0"/>
                <w:sz w:val="16"/>
              </w:rPr>
              <w:t>Recovered/Ongoing</w:t>
            </w:r>
          </w:p>
        </w:tc>
      </w:tr>
      <w:tr>
        <w:tc>
          <w:tcPr>
            <w:tcW w:type="dxa" w:w="1052"/>
          </w:tcPr>
          <w:p>
            <w:pPr>
              <w:spacing w:before="20" w:after="20" w:line="240" w:lineRule="exact"/>
              <w:jc w:val="left"/>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c>
          <w:tcPr>
            <w:tcW w:type="dxa" w:w="1052"/>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R=Related, NR=Not Related. N=None, DR=Dose Reduced, DI=Interrupted, DW=Withdrawn.</w:t>
      </w:r>
    </w:p>
    <w:p>
      <w:pPr>
        <w:spacing w:before="0" w:after="0"/>
      </w:pPr>
      <w:r>
        <w:rPr>
          <w:rFonts w:ascii="Times New Roman" w:hAnsi="Times New Roman"/>
          <w:i/>
          <w:sz w:val="16"/>
        </w:rPr>
        <w:t>[2] Dataset: ADSL, ADAE. Program: l_ae.sas.</w:t>
      </w:r>
    </w:p>
    <w:p>
      <w:pPr>
        <w:spacing w:before="0" w:after="0"/>
      </w:pPr>
      <w:r>
        <w:rPr>
          <w:rFonts w:ascii="Times New Roman" w:hAnsi="Times New Roman"/>
          <w:i/>
          <w:sz w:val="16"/>
        </w:rPr>
        <w:t>[3]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16.2.5  Listing of Serious Adverse Events</w:t>
      </w:r>
      <w:r>
        <w:bookmarkStart w:id="0" w:name="L16.2.5"/>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244"/>
        <w:gridCol w:w="1244"/>
        <w:gridCol w:w="1244"/>
        <w:gridCol w:w="1244"/>
        <w:gridCol w:w="1244"/>
        <w:gridCol w:w="1244"/>
        <w:gridCol w:w="1244"/>
        <w:gridCol w:w="1244"/>
        <w:gridCol w:w="1244"/>
        <w:gridCol w:w="1244"/>
        <w:gridCol w:w="1244"/>
      </w:tblGrid>
      <w:tr>
        <w:trPr>
          <w:tblHeader w:val="true"/>
        </w:trPr>
        <w:tc>
          <w:tcPr>
            <w:tcW w:type="dxa" w:w="1244"/>
            <w:shd w:fill="F2F2F2" w:val="clear"/>
            <w:tcBorders>
              <w:bottom w:val="single" w:sz="4" w:space="0" w:color="000000"/>
            </w:tcBorders>
          </w:tcPr>
          <w:p>
            <w:pPr>
              <w:jc w:val="left"/>
            </w:pPr>
            <w:r>
              <w:rPr>
                <w:rFonts w:ascii="Times New Roman" w:hAnsi="Times New Roman"/>
                <w:b/>
                <w:sz w:val="18"/>
              </w:rPr>
              <w:t>Site</w:t>
            </w:r>
          </w:p>
        </w:tc>
        <w:tc>
          <w:tcPr>
            <w:tcW w:type="dxa" w:w="1244"/>
            <w:shd w:fill="F2F2F2" w:val="clear"/>
            <w:tcBorders>
              <w:bottom w:val="single" w:sz="4" w:space="0" w:color="000000"/>
            </w:tcBorders>
          </w:tcPr>
          <w:p>
            <w:pPr>
              <w:jc w:val="center"/>
            </w:pPr>
            <w:r>
              <w:rPr>
                <w:rFonts w:ascii="Times New Roman" w:hAnsi="Times New Roman"/>
                <w:b/>
                <w:sz w:val="18"/>
              </w:rPr>
              <w:t>Subject</w:t>
            </w:r>
          </w:p>
        </w:tc>
        <w:tc>
          <w:tcPr>
            <w:tcW w:type="dxa" w:w="1244"/>
            <w:shd w:fill="F2F2F2" w:val="clear"/>
            <w:tcBorders>
              <w:bottom w:val="single" w:sz="4" w:space="0" w:color="000000"/>
            </w:tcBorders>
          </w:tcPr>
          <w:p>
            <w:pPr>
              <w:jc w:val="center"/>
            </w:pPr>
            <w:r>
              <w:rPr>
                <w:rFonts w:ascii="Times New Roman" w:hAnsi="Times New Roman"/>
                <w:b/>
                <w:sz w:val="18"/>
              </w:rPr>
              <w:t>Group</w:t>
            </w:r>
          </w:p>
        </w:tc>
        <w:tc>
          <w:tcPr>
            <w:tcW w:type="dxa" w:w="1244"/>
            <w:shd w:fill="F2F2F2" w:val="clear"/>
            <w:tcBorders>
              <w:bottom w:val="single" w:sz="4" w:space="0" w:color="000000"/>
            </w:tcBorders>
          </w:tcPr>
          <w:p>
            <w:pPr>
              <w:jc w:val="center"/>
            </w:pPr>
            <w:r>
              <w:rPr>
                <w:rFonts w:ascii="Times New Roman" w:hAnsi="Times New Roman"/>
                <w:b/>
                <w:sz w:val="18"/>
              </w:rPr>
              <w:t>Preferred Term</w:t>
            </w:r>
          </w:p>
        </w:tc>
        <w:tc>
          <w:tcPr>
            <w:tcW w:type="dxa" w:w="1244"/>
            <w:shd w:fill="F2F2F2" w:val="clear"/>
            <w:tcBorders>
              <w:bottom w:val="single" w:sz="4" w:space="0" w:color="000000"/>
            </w:tcBorders>
          </w:tcPr>
          <w:p>
            <w:pPr>
              <w:jc w:val="center"/>
            </w:pPr>
            <w:r>
              <w:rPr>
                <w:rFonts w:ascii="Times New Roman" w:hAnsi="Times New Roman"/>
                <w:b/>
                <w:sz w:val="18"/>
              </w:rPr>
              <w:t>SAE Criteria</w:t>
            </w:r>
          </w:p>
        </w:tc>
        <w:tc>
          <w:tcPr>
            <w:tcW w:type="dxa" w:w="1244"/>
            <w:shd w:fill="F2F2F2" w:val="clear"/>
            <w:tcBorders>
              <w:bottom w:val="single" w:sz="4" w:space="0" w:color="000000"/>
            </w:tcBorders>
          </w:tcPr>
          <w:p>
            <w:pPr>
              <w:jc w:val="center"/>
            </w:pPr>
            <w:r>
              <w:rPr>
                <w:rFonts w:ascii="Times New Roman" w:hAnsi="Times New Roman"/>
                <w:b/>
                <w:sz w:val="18"/>
              </w:rPr>
              <w:t>Start Date</w:t>
            </w:r>
          </w:p>
        </w:tc>
        <w:tc>
          <w:tcPr>
            <w:tcW w:type="dxa" w:w="1244"/>
            <w:shd w:fill="F2F2F2" w:val="clear"/>
            <w:tcBorders>
              <w:bottom w:val="single" w:sz="4" w:space="0" w:color="000000"/>
            </w:tcBorders>
          </w:tcPr>
          <w:p>
            <w:pPr>
              <w:jc w:val="center"/>
            </w:pPr>
            <w:r>
              <w:rPr>
                <w:rFonts w:ascii="Times New Roman" w:hAnsi="Times New Roman"/>
                <w:b/>
                <w:sz w:val="18"/>
              </w:rPr>
              <w:t>End Date</w:t>
            </w:r>
          </w:p>
        </w:tc>
        <w:tc>
          <w:tcPr>
            <w:tcW w:type="dxa" w:w="1244"/>
            <w:shd w:fill="F2F2F2" w:val="clear"/>
            <w:tcBorders>
              <w:bottom w:val="single" w:sz="4" w:space="0" w:color="000000"/>
            </w:tcBorders>
          </w:tcPr>
          <w:p>
            <w:pPr>
              <w:jc w:val="center"/>
            </w:pPr>
            <w:r>
              <w:rPr>
                <w:rFonts w:ascii="Times New Roman" w:hAnsi="Times New Roman"/>
                <w:b/>
                <w:sz w:val="18"/>
              </w:rPr>
              <w:t>CTCAE Grade</w:t>
            </w:r>
          </w:p>
        </w:tc>
        <w:tc>
          <w:tcPr>
            <w:tcW w:type="dxa" w:w="1244"/>
            <w:shd w:fill="F2F2F2" w:val="clear"/>
            <w:tcBorders>
              <w:bottom w:val="single" w:sz="4" w:space="0" w:color="000000"/>
            </w:tcBorders>
          </w:tcPr>
          <w:p>
            <w:pPr>
              <w:jc w:val="center"/>
            </w:pPr>
            <w:r>
              <w:rPr>
                <w:rFonts w:ascii="Times New Roman" w:hAnsi="Times New Roman"/>
                <w:b/>
                <w:sz w:val="18"/>
              </w:rPr>
              <w:t>Relationship</w:t>
            </w:r>
          </w:p>
        </w:tc>
        <w:tc>
          <w:tcPr>
            <w:tcW w:type="dxa" w:w="1244"/>
            <w:shd w:fill="F2F2F2" w:val="clear"/>
            <w:tcBorders>
              <w:bottom w:val="single" w:sz="4" w:space="0" w:color="000000"/>
            </w:tcBorders>
          </w:tcPr>
          <w:p>
            <w:pPr>
              <w:jc w:val="center"/>
            </w:pPr>
            <w:r>
              <w:rPr>
                <w:rFonts w:ascii="Times New Roman" w:hAnsi="Times New Roman"/>
                <w:b/>
                <w:sz w:val="18"/>
              </w:rPr>
              <w:t>Outcome</w:t>
            </w:r>
          </w:p>
        </w:tc>
        <w:tc>
          <w:tcPr>
            <w:tcW w:type="dxa" w:w="1244"/>
            <w:shd w:fill="F2F2F2" w:val="clear"/>
            <w:tcBorders>
              <w:bottom w:val="single" w:sz="4" w:space="0" w:color="000000"/>
            </w:tcBorders>
          </w:tcPr>
          <w:p>
            <w:pPr>
              <w:jc w:val="center"/>
            </w:pPr>
            <w:r>
              <w:rPr>
                <w:rFonts w:ascii="Times New Roman" w:hAnsi="Times New Roman"/>
                <w:b/>
                <w:sz w:val="18"/>
              </w:rPr>
              <w:t>Narrative ID</w:t>
            </w:r>
          </w:p>
        </w:tc>
      </w:tr>
      <w:tr>
        <w:tc>
          <w:tcPr>
            <w:tcW w:type="dxa" w:w="1244"/>
          </w:tcPr>
          <w:p>
            <w:pPr>
              <w:spacing w:before="20" w:after="20" w:line="240" w:lineRule="exact"/>
              <w:jc w:val="left"/>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xxxx/xxx</w:t>
            </w:r>
          </w:p>
        </w:tc>
        <w:tc>
          <w:tcPr>
            <w:tcW w:type="dxa" w:w="1244"/>
          </w:tcPr>
          <w:p>
            <w:pPr>
              <w:spacing w:before="20" w:after="20" w:line="240" w:lineRule="exact"/>
              <w:jc w:val="center"/>
            </w:pPr>
            <w:r>
              <w:rPr>
                <w:rFonts w:ascii="Times New Roman" w:hAnsi="Times New Roman"/>
                <w:b w:val="0"/>
                <w:sz w:val="16"/>
              </w:rPr>
              <w:t>Group</w:t>
            </w:r>
          </w:p>
        </w:tc>
        <w:tc>
          <w:tcPr>
            <w:tcW w:type="dxa" w:w="1244"/>
          </w:tcPr>
          <w:p>
            <w:pPr>
              <w:spacing w:before="20" w:after="20" w:line="240" w:lineRule="exact"/>
              <w:jc w:val="center"/>
            </w:pPr>
            <w:r>
              <w:rPr>
                <w:rFonts w:ascii="Times New Roman" w:hAnsi="Times New Roman"/>
                <w:b w:val="0"/>
                <w:sz w:val="16"/>
              </w:rPr>
              <w:t>Pneumonia</w:t>
            </w:r>
          </w:p>
        </w:tc>
        <w:tc>
          <w:tcPr>
            <w:tcW w:type="dxa" w:w="1244"/>
          </w:tcPr>
          <w:p>
            <w:pPr>
              <w:spacing w:before="20" w:after="20" w:line="240" w:lineRule="exact"/>
              <w:jc w:val="center"/>
            </w:pPr>
            <w:r>
              <w:rPr>
                <w:rFonts w:ascii="Times New Roman" w:hAnsi="Times New Roman"/>
                <w:b w:val="0"/>
                <w:sz w:val="16"/>
              </w:rPr>
              <w:t>D/L/H/P/C/O</w:t>
            </w:r>
          </w:p>
        </w:tc>
        <w:tc>
          <w:tcPr>
            <w:tcW w:type="dxa" w:w="1244"/>
          </w:tcPr>
          <w:p>
            <w:pPr>
              <w:spacing w:before="20" w:after="20" w:line="240" w:lineRule="exact"/>
              <w:jc w:val="center"/>
            </w:pPr>
            <w:r>
              <w:rPr>
                <w:rFonts w:ascii="Times New Roman" w:hAnsi="Times New Roman"/>
                <w:b w:val="0"/>
                <w:sz w:val="16"/>
              </w:rPr>
              <w:t>DDMMMYYYY</w:t>
            </w:r>
          </w:p>
        </w:tc>
        <w:tc>
          <w:tcPr>
            <w:tcW w:type="dxa" w:w="1244"/>
          </w:tcPr>
          <w:p>
            <w:pPr>
              <w:spacing w:before="20" w:after="20" w:line="240" w:lineRule="exact"/>
              <w:jc w:val="center"/>
            </w:pPr>
            <w:r>
              <w:rPr>
                <w:rFonts w:ascii="Times New Roman" w:hAnsi="Times New Roman"/>
                <w:b w:val="0"/>
                <w:sz w:val="16"/>
              </w:rPr>
              <w:t>DDMMMYYYY</w:t>
            </w:r>
          </w:p>
        </w:tc>
        <w:tc>
          <w:tcPr>
            <w:tcW w:type="dxa" w:w="1244"/>
          </w:tcPr>
          <w:p>
            <w:pPr>
              <w:spacing w:before="20" w:after="20" w:line="240" w:lineRule="exact"/>
              <w:jc w:val="center"/>
            </w:pPr>
            <w:r>
              <w:rPr>
                <w:rFonts w:ascii="Times New Roman" w:hAnsi="Times New Roman"/>
                <w:b w:val="0"/>
                <w:sz w:val="16"/>
              </w:rPr>
              <w:t>x</w:t>
            </w:r>
          </w:p>
        </w:tc>
        <w:tc>
          <w:tcPr>
            <w:tcW w:type="dxa" w:w="1244"/>
          </w:tcPr>
          <w:p>
            <w:pPr>
              <w:spacing w:before="20" w:after="20" w:line="240" w:lineRule="exact"/>
              <w:jc w:val="center"/>
            </w:pPr>
            <w:r>
              <w:rPr>
                <w:rFonts w:ascii="Times New Roman" w:hAnsi="Times New Roman"/>
                <w:b w:val="0"/>
                <w:sz w:val="16"/>
              </w:rPr>
              <w:t>R/NR</w:t>
            </w:r>
          </w:p>
        </w:tc>
        <w:tc>
          <w:tcPr>
            <w:tcW w:type="dxa" w:w="1244"/>
          </w:tcPr>
          <w:p>
            <w:pPr>
              <w:spacing w:before="20" w:after="20" w:line="240" w:lineRule="exact"/>
              <w:jc w:val="center"/>
            </w:pPr>
            <w:r>
              <w:rPr>
                <w:rFonts w:ascii="Times New Roman" w:hAnsi="Times New Roman"/>
                <w:b w:val="0"/>
                <w:sz w:val="16"/>
              </w:rPr>
              <w:t>Recovered/Fatal</w:t>
            </w:r>
          </w:p>
        </w:tc>
        <w:tc>
          <w:tcPr>
            <w:tcW w:type="dxa" w:w="1244"/>
          </w:tcPr>
          <w:p>
            <w:pPr>
              <w:spacing w:before="20" w:after="20" w:line="240" w:lineRule="exact"/>
              <w:jc w:val="center"/>
            </w:pPr>
            <w:r>
              <w:rPr>
                <w:rFonts w:ascii="Times New Roman" w:hAnsi="Times New Roman"/>
                <w:b w:val="0"/>
                <w:sz w:val="16"/>
              </w:rPr>
              <w:t>NAR-xxxx</w:t>
            </w:r>
          </w:p>
        </w:tc>
      </w:tr>
      <w:tr>
        <w:tc>
          <w:tcPr>
            <w:tcW w:type="dxa" w:w="1244"/>
          </w:tcPr>
          <w:p>
            <w:pPr>
              <w:spacing w:before="20" w:after="20" w:line="240" w:lineRule="exact"/>
              <w:jc w:val="left"/>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ADAE. Program: l_sae.sas.</w:t>
      </w:r>
    </w:p>
    <w:p>
      <w:pPr>
        <w:spacing w:before="0" w:after="0"/>
      </w:pPr>
      <w:r>
        <w:rPr>
          <w:rFonts w:ascii="Times New Roman" w:hAnsi="Times New Roman"/>
          <w:i/>
          <w:sz w:val="16"/>
        </w:rPr>
        <w:t>[2]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16.2.6  Listing of Concomitant Medications</w:t>
      </w:r>
      <w:r>
        <w:bookmarkStart w:id="0" w:name="L16.2.6"/>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ATC Class</w:t>
            </w:r>
          </w:p>
        </w:tc>
        <w:tc>
          <w:tcPr>
            <w:tcW w:type="dxa" w:w="1520"/>
            <w:shd w:fill="F2F2F2" w:val="clear"/>
            <w:tcBorders>
              <w:bottom w:val="single" w:sz="4" w:space="0" w:color="000000"/>
            </w:tcBorders>
          </w:tcPr>
          <w:p>
            <w:pPr>
              <w:jc w:val="center"/>
            </w:pPr>
            <w:r>
              <w:rPr>
                <w:rFonts w:ascii="Times New Roman" w:hAnsi="Times New Roman"/>
                <w:b/>
                <w:sz w:val="18"/>
              </w:rPr>
              <w:t>Preferred Name</w:t>
            </w:r>
          </w:p>
        </w:tc>
        <w:tc>
          <w:tcPr>
            <w:tcW w:type="dxa" w:w="1520"/>
            <w:shd w:fill="F2F2F2" w:val="clear"/>
            <w:tcBorders>
              <w:bottom w:val="single" w:sz="4" w:space="0" w:color="000000"/>
            </w:tcBorders>
          </w:tcPr>
          <w:p>
            <w:pPr>
              <w:jc w:val="center"/>
            </w:pPr>
            <w:r>
              <w:rPr>
                <w:rFonts w:ascii="Times New Roman" w:hAnsi="Times New Roman"/>
                <w:b/>
                <w:sz w:val="18"/>
              </w:rPr>
              <w:t>Indication</w:t>
            </w:r>
          </w:p>
        </w:tc>
        <w:tc>
          <w:tcPr>
            <w:tcW w:type="dxa" w:w="1520"/>
            <w:shd w:fill="F2F2F2" w:val="clear"/>
            <w:tcBorders>
              <w:bottom w:val="single" w:sz="4" w:space="0" w:color="000000"/>
            </w:tcBorders>
          </w:tcPr>
          <w:p>
            <w:pPr>
              <w:spacing w:before="0" w:after="0"/>
              <w:jc w:val="center"/>
            </w:pPr>
            <w:r>
              <w:rPr>
                <w:rFonts w:ascii="Times New Roman" w:hAnsi="Times New Roman"/>
                <w:b/>
                <w:sz w:val="18"/>
              </w:rPr>
              <w:t>Dose /</w:t>
            </w:r>
          </w:p>
          <w:p>
            <w:pPr>
              <w:spacing w:before="0" w:after="0"/>
              <w:jc w:val="center"/>
            </w:pPr>
            <w:r>
              <w:rPr>
                <w:rFonts w:ascii="Times New Roman" w:hAnsi="Times New Roman"/>
                <w:b/>
                <w:sz w:val="18"/>
              </w:rPr>
              <w:t>Route / Frequency</w:t>
            </w:r>
          </w:p>
        </w:tc>
        <w:tc>
          <w:tcPr>
            <w:tcW w:type="dxa" w:w="1520"/>
            <w:shd w:fill="F2F2F2" w:val="clear"/>
            <w:tcBorders>
              <w:bottom w:val="single" w:sz="4" w:space="0" w:color="000000"/>
            </w:tcBorders>
          </w:tcPr>
          <w:p>
            <w:pPr>
              <w:jc w:val="center"/>
            </w:pPr>
            <w:r>
              <w:rPr>
                <w:rFonts w:ascii="Times New Roman" w:hAnsi="Times New Roman"/>
                <w:b/>
                <w:sz w:val="18"/>
              </w:rPr>
              <w:t>Start Date</w:t>
            </w:r>
          </w:p>
        </w:tc>
        <w:tc>
          <w:tcPr>
            <w:tcW w:type="dxa" w:w="1520"/>
            <w:shd w:fill="F2F2F2" w:val="clear"/>
            <w:tcBorders>
              <w:bottom w:val="single" w:sz="4" w:space="0" w:color="000000"/>
            </w:tcBorders>
          </w:tcPr>
          <w:p>
            <w:pPr>
              <w:jc w:val="center"/>
            </w:pPr>
            <w:r>
              <w:rPr>
                <w:rFonts w:ascii="Times New Roman" w:hAnsi="Times New Roman"/>
                <w:b/>
                <w:sz w:val="18"/>
              </w:rPr>
              <w:t>End Date</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A02BC</w:t>
            </w:r>
          </w:p>
        </w:tc>
        <w:tc>
          <w:tcPr>
            <w:tcW w:type="dxa" w:w="1520"/>
          </w:tcPr>
          <w:p>
            <w:pPr>
              <w:spacing w:before="20" w:after="20" w:line="240" w:lineRule="exact"/>
              <w:jc w:val="center"/>
            </w:pPr>
            <w:r>
              <w:rPr>
                <w:rFonts w:ascii="Times New Roman" w:hAnsi="Times New Roman"/>
                <w:b w:val="0"/>
                <w:sz w:val="16"/>
              </w:rPr>
              <w:t>Omeprazole</w:t>
            </w:r>
          </w:p>
        </w:tc>
        <w:tc>
          <w:tcPr>
            <w:tcW w:type="dxa" w:w="1520"/>
          </w:tcPr>
          <w:p>
            <w:pPr>
              <w:spacing w:before="20" w:after="20" w:line="240" w:lineRule="exact"/>
              <w:jc w:val="center"/>
            </w:pPr>
            <w:r>
              <w:rPr>
                <w:rFonts w:ascii="Times New Roman" w:hAnsi="Times New Roman"/>
                <w:b w:val="0"/>
                <w:sz w:val="16"/>
              </w:rPr>
              <w:t>GERD</w:t>
            </w:r>
          </w:p>
        </w:tc>
        <w:tc>
          <w:tcPr>
            <w:tcW w:type="dxa" w:w="1520"/>
          </w:tcPr>
          <w:p>
            <w:pPr>
              <w:spacing w:before="20" w:after="20" w:line="240" w:lineRule="exact"/>
              <w:jc w:val="center"/>
            </w:pPr>
            <w:r>
              <w:rPr>
                <w:rFonts w:ascii="Times New Roman" w:hAnsi="Times New Roman"/>
                <w:b w:val="0"/>
                <w:sz w:val="16"/>
              </w:rPr>
              <w:t>20 mg / PO / QD</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DDMMMYYYY</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ADCM. Program: l_conmed.sas.</w:t>
      </w:r>
    </w:p>
    <w:p>
      <w:pPr>
        <w:spacing w:before="0" w:after="0"/>
      </w:pPr>
      <w:r>
        <w:rPr>
          <w:rFonts w:ascii="Times New Roman" w:hAnsi="Times New Roman"/>
          <w:i/>
          <w:sz w:val="16"/>
        </w:rPr>
        <w:t>[2] Coding dictionary: WHO-DD [version].</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16.2.7  Listing of Laboratory Data — Hematology and Chemistry</w:t>
      </w:r>
      <w:r>
        <w:bookmarkStart w:id="0" w:name="L16.2.7"/>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Visit</w:t>
            </w:r>
          </w:p>
        </w:tc>
        <w:tc>
          <w:tcPr>
            <w:tcW w:type="dxa" w:w="1520"/>
            <w:shd w:fill="F2F2F2" w:val="clear"/>
            <w:tcBorders>
              <w:bottom w:val="single" w:sz="4" w:space="0" w:color="000000"/>
            </w:tcBorders>
          </w:tcPr>
          <w:p>
            <w:pPr>
              <w:jc w:val="center"/>
            </w:pPr>
            <w:r>
              <w:rPr>
                <w:rFonts w:ascii="Times New Roman" w:hAnsi="Times New Roman"/>
                <w:b/>
                <w:sz w:val="18"/>
              </w:rPr>
              <w:t>Parameter</w:t>
            </w:r>
          </w:p>
        </w:tc>
        <w:tc>
          <w:tcPr>
            <w:tcW w:type="dxa" w:w="1520"/>
            <w:shd w:fill="F2F2F2" w:val="clear"/>
            <w:tcBorders>
              <w:bottom w:val="single" w:sz="4" w:space="0" w:color="000000"/>
            </w:tcBorders>
          </w:tcPr>
          <w:p>
            <w:pPr>
              <w:jc w:val="center"/>
            </w:pPr>
            <w:r>
              <w:rPr>
                <w:rFonts w:ascii="Times New Roman" w:hAnsi="Times New Roman"/>
                <w:b/>
                <w:sz w:val="18"/>
              </w:rPr>
              <w:t>Result</w:t>
            </w:r>
          </w:p>
        </w:tc>
        <w:tc>
          <w:tcPr>
            <w:tcW w:type="dxa" w:w="1520"/>
            <w:shd w:fill="F2F2F2" w:val="clear"/>
            <w:tcBorders>
              <w:bottom w:val="single" w:sz="4" w:space="0" w:color="000000"/>
            </w:tcBorders>
          </w:tcPr>
          <w:p>
            <w:pPr>
              <w:jc w:val="center"/>
            </w:pPr>
            <w:r>
              <w:rPr>
                <w:rFonts w:ascii="Times New Roman" w:hAnsi="Times New Roman"/>
                <w:b/>
                <w:sz w:val="18"/>
              </w:rPr>
              <w:t>Unit</w:t>
            </w:r>
          </w:p>
        </w:tc>
        <w:tc>
          <w:tcPr>
            <w:tcW w:type="dxa" w:w="1520"/>
            <w:shd w:fill="F2F2F2" w:val="clear"/>
            <w:tcBorders>
              <w:bottom w:val="single" w:sz="4" w:space="0" w:color="000000"/>
            </w:tcBorders>
          </w:tcPr>
          <w:p>
            <w:pPr>
              <w:jc w:val="center"/>
            </w:pPr>
            <w:r>
              <w:rPr>
                <w:rFonts w:ascii="Times New Roman" w:hAnsi="Times New Roman"/>
                <w:b/>
                <w:sz w:val="18"/>
              </w:rPr>
              <w:t>Normal Range</w:t>
            </w:r>
          </w:p>
        </w:tc>
        <w:tc>
          <w:tcPr>
            <w:tcW w:type="dxa" w:w="1520"/>
            <w:shd w:fill="F2F2F2" w:val="clear"/>
            <w:tcBorders>
              <w:bottom w:val="single" w:sz="4" w:space="0" w:color="000000"/>
            </w:tcBorders>
          </w:tcPr>
          <w:p>
            <w:pPr>
              <w:jc w:val="center"/>
            </w:pPr>
            <w:r>
              <w:rPr>
                <w:rFonts w:ascii="Times New Roman" w:hAnsi="Times New Roman"/>
                <w:b/>
                <w:sz w:val="18"/>
              </w:rPr>
              <w:t>Flag</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Screening/Wk xx</w:t>
            </w:r>
          </w:p>
        </w:tc>
        <w:tc>
          <w:tcPr>
            <w:tcW w:type="dxa" w:w="1520"/>
          </w:tcPr>
          <w:p>
            <w:pPr>
              <w:spacing w:before="20" w:after="20" w:line="240" w:lineRule="exact"/>
              <w:jc w:val="center"/>
            </w:pPr>
            <w:r>
              <w:rPr>
                <w:rFonts w:ascii="Times New Roman" w:hAnsi="Times New Roman"/>
                <w:b w:val="0"/>
                <w:sz w:val="16"/>
              </w:rPr>
              <w:t>Hemoglobin</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g/dL</w:t>
            </w:r>
          </w:p>
        </w:tc>
        <w:tc>
          <w:tcPr>
            <w:tcW w:type="dxa" w:w="1520"/>
          </w:tcPr>
          <w:p>
            <w:pPr>
              <w:spacing w:before="20" w:after="20" w:line="240" w:lineRule="exact"/>
              <w:jc w:val="center"/>
            </w:pPr>
            <w:r>
              <w:rPr>
                <w:rFonts w:ascii="Times New Roman" w:hAnsi="Times New Roman"/>
                <w:b w:val="0"/>
                <w:sz w:val="16"/>
              </w:rPr>
              <w:t>xx.x-xx.x</w:t>
            </w:r>
          </w:p>
        </w:tc>
        <w:tc>
          <w:tcPr>
            <w:tcW w:type="dxa" w:w="1520"/>
          </w:tcPr>
          <w:p>
            <w:pPr>
              <w:spacing w:before="20" w:after="20" w:line="240" w:lineRule="exact"/>
              <w:jc w:val="center"/>
            </w:pPr>
            <w:r>
              <w:rPr>
                <w:rFonts w:ascii="Times New Roman" w:hAnsi="Times New Roman"/>
                <w:b w:val="0"/>
                <w:sz w:val="16"/>
              </w:rPr>
              <w:t>L/N/H</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ADLB. Program: l_lab.sas.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16.2.8  Listing of Vital Signs</w:t>
      </w:r>
      <w:r>
        <w:bookmarkStart w:id="0" w:name="L16.2.8"/>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244"/>
        <w:gridCol w:w="1244"/>
        <w:gridCol w:w="1244"/>
        <w:gridCol w:w="1244"/>
        <w:gridCol w:w="1244"/>
        <w:gridCol w:w="1244"/>
        <w:gridCol w:w="1244"/>
        <w:gridCol w:w="1244"/>
        <w:gridCol w:w="1244"/>
        <w:gridCol w:w="1244"/>
        <w:gridCol w:w="1244"/>
      </w:tblGrid>
      <w:tr>
        <w:trPr>
          <w:tblHeader w:val="true"/>
        </w:trPr>
        <w:tc>
          <w:tcPr>
            <w:tcW w:type="dxa" w:w="1244"/>
            <w:shd w:fill="F2F2F2" w:val="clear"/>
            <w:tcBorders>
              <w:bottom w:val="single" w:sz="4" w:space="0" w:color="000000"/>
            </w:tcBorders>
          </w:tcPr>
          <w:p>
            <w:pPr>
              <w:jc w:val="left"/>
            </w:pPr>
            <w:r>
              <w:rPr>
                <w:rFonts w:ascii="Times New Roman" w:hAnsi="Times New Roman"/>
                <w:b/>
                <w:sz w:val="18"/>
              </w:rPr>
              <w:t>Site</w:t>
            </w:r>
          </w:p>
        </w:tc>
        <w:tc>
          <w:tcPr>
            <w:tcW w:type="dxa" w:w="1244"/>
            <w:shd w:fill="F2F2F2" w:val="clear"/>
            <w:tcBorders>
              <w:bottom w:val="single" w:sz="4" w:space="0" w:color="000000"/>
            </w:tcBorders>
          </w:tcPr>
          <w:p>
            <w:pPr>
              <w:jc w:val="center"/>
            </w:pPr>
            <w:r>
              <w:rPr>
                <w:rFonts w:ascii="Times New Roman" w:hAnsi="Times New Roman"/>
                <w:b/>
                <w:sz w:val="18"/>
              </w:rPr>
              <w:t>Subject</w:t>
            </w:r>
          </w:p>
        </w:tc>
        <w:tc>
          <w:tcPr>
            <w:tcW w:type="dxa" w:w="1244"/>
            <w:shd w:fill="F2F2F2" w:val="clear"/>
            <w:tcBorders>
              <w:bottom w:val="single" w:sz="4" w:space="0" w:color="000000"/>
            </w:tcBorders>
          </w:tcPr>
          <w:p>
            <w:pPr>
              <w:jc w:val="center"/>
            </w:pPr>
            <w:r>
              <w:rPr>
                <w:rFonts w:ascii="Times New Roman" w:hAnsi="Times New Roman"/>
                <w:b/>
                <w:sz w:val="18"/>
              </w:rPr>
              <w:t>Group</w:t>
            </w:r>
          </w:p>
        </w:tc>
        <w:tc>
          <w:tcPr>
            <w:tcW w:type="dxa" w:w="1244"/>
            <w:shd w:fill="F2F2F2" w:val="clear"/>
            <w:tcBorders>
              <w:bottom w:val="single" w:sz="4" w:space="0" w:color="000000"/>
            </w:tcBorders>
          </w:tcPr>
          <w:p>
            <w:pPr>
              <w:jc w:val="center"/>
            </w:pPr>
            <w:r>
              <w:rPr>
                <w:rFonts w:ascii="Times New Roman" w:hAnsi="Times New Roman"/>
                <w:b/>
                <w:sz w:val="18"/>
              </w:rPr>
              <w:t>Visit</w:t>
            </w:r>
          </w:p>
        </w:tc>
        <w:tc>
          <w:tcPr>
            <w:tcW w:type="dxa" w:w="1244"/>
            <w:shd w:fill="F2F2F2" w:val="clear"/>
            <w:tcBorders>
              <w:bottom w:val="single" w:sz="4" w:space="0" w:color="000000"/>
            </w:tcBorders>
          </w:tcPr>
          <w:p>
            <w:pPr>
              <w:jc w:val="center"/>
            </w:pPr>
            <w:r>
              <w:rPr>
                <w:rFonts w:ascii="Times New Roman" w:hAnsi="Times New Roman"/>
                <w:b/>
                <w:sz w:val="18"/>
              </w:rPr>
              <w:t>Date</w:t>
            </w:r>
          </w:p>
        </w:tc>
        <w:tc>
          <w:tcPr>
            <w:tcW w:type="dxa" w:w="1244"/>
            <w:shd w:fill="F2F2F2" w:val="clear"/>
            <w:tcBorders>
              <w:bottom w:val="single" w:sz="4" w:space="0" w:color="000000"/>
            </w:tcBorders>
          </w:tcPr>
          <w:p>
            <w:pPr>
              <w:spacing w:before="0" w:after="0"/>
              <w:jc w:val="center"/>
            </w:pPr>
            <w:r>
              <w:rPr>
                <w:rFonts w:ascii="Times New Roman" w:hAnsi="Times New Roman"/>
                <w:b/>
                <w:sz w:val="18"/>
              </w:rPr>
              <w:t>SBP</w:t>
            </w:r>
          </w:p>
          <w:p>
            <w:pPr>
              <w:spacing w:before="0" w:after="0"/>
              <w:jc w:val="center"/>
            </w:pPr>
            <w:r>
              <w:rPr>
                <w:rFonts w:ascii="Times New Roman" w:hAnsi="Times New Roman"/>
                <w:b/>
                <w:sz w:val="18"/>
              </w:rPr>
              <w:t>(mmHg)</w:t>
            </w:r>
          </w:p>
        </w:tc>
        <w:tc>
          <w:tcPr>
            <w:tcW w:type="dxa" w:w="1244"/>
            <w:shd w:fill="F2F2F2" w:val="clear"/>
            <w:tcBorders>
              <w:bottom w:val="single" w:sz="4" w:space="0" w:color="000000"/>
            </w:tcBorders>
          </w:tcPr>
          <w:p>
            <w:pPr>
              <w:spacing w:before="0" w:after="0"/>
              <w:jc w:val="center"/>
            </w:pPr>
            <w:r>
              <w:rPr>
                <w:rFonts w:ascii="Times New Roman" w:hAnsi="Times New Roman"/>
                <w:b/>
                <w:sz w:val="18"/>
              </w:rPr>
              <w:t>DBP</w:t>
            </w:r>
          </w:p>
          <w:p>
            <w:pPr>
              <w:spacing w:before="0" w:after="0"/>
              <w:jc w:val="center"/>
            </w:pPr>
            <w:r>
              <w:rPr>
                <w:rFonts w:ascii="Times New Roman" w:hAnsi="Times New Roman"/>
                <w:b/>
                <w:sz w:val="18"/>
              </w:rPr>
              <w:t>(mmHg)</w:t>
            </w:r>
          </w:p>
        </w:tc>
        <w:tc>
          <w:tcPr>
            <w:tcW w:type="dxa" w:w="1244"/>
            <w:shd w:fill="F2F2F2" w:val="clear"/>
            <w:tcBorders>
              <w:bottom w:val="single" w:sz="4" w:space="0" w:color="000000"/>
            </w:tcBorders>
          </w:tcPr>
          <w:p>
            <w:pPr>
              <w:spacing w:before="0" w:after="0"/>
              <w:jc w:val="center"/>
            </w:pPr>
            <w:r>
              <w:rPr>
                <w:rFonts w:ascii="Times New Roman" w:hAnsi="Times New Roman"/>
                <w:b/>
                <w:sz w:val="18"/>
              </w:rPr>
              <w:t>HR</w:t>
            </w:r>
          </w:p>
          <w:p>
            <w:pPr>
              <w:spacing w:before="0" w:after="0"/>
              <w:jc w:val="center"/>
            </w:pPr>
            <w:r>
              <w:rPr>
                <w:rFonts w:ascii="Times New Roman" w:hAnsi="Times New Roman"/>
                <w:b/>
                <w:sz w:val="18"/>
              </w:rPr>
              <w:t>(bpm)</w:t>
            </w:r>
          </w:p>
        </w:tc>
        <w:tc>
          <w:tcPr>
            <w:tcW w:type="dxa" w:w="1244"/>
            <w:shd w:fill="F2F2F2" w:val="clear"/>
            <w:tcBorders>
              <w:bottom w:val="single" w:sz="4" w:space="0" w:color="000000"/>
            </w:tcBorders>
          </w:tcPr>
          <w:p>
            <w:pPr>
              <w:jc w:val="center"/>
            </w:pPr>
            <w:r>
              <w:rPr>
                <w:rFonts w:ascii="Times New Roman" w:hAnsi="Times New Roman"/>
                <w:b/>
                <w:sz w:val="18"/>
              </w:rPr>
              <w:t>Resp Rate</w:t>
            </w:r>
          </w:p>
        </w:tc>
        <w:tc>
          <w:tcPr>
            <w:tcW w:type="dxa" w:w="1244"/>
            <w:shd w:fill="F2F2F2" w:val="clear"/>
            <w:tcBorders>
              <w:bottom w:val="single" w:sz="4" w:space="0" w:color="000000"/>
            </w:tcBorders>
          </w:tcPr>
          <w:p>
            <w:pPr>
              <w:jc w:val="center"/>
            </w:pPr>
            <w:r>
              <w:rPr>
                <w:rFonts w:ascii="Times New Roman" w:hAnsi="Times New Roman"/>
                <w:b/>
                <w:sz w:val="18"/>
              </w:rPr>
              <w:t>Temp (°C)</w:t>
            </w:r>
          </w:p>
        </w:tc>
        <w:tc>
          <w:tcPr>
            <w:tcW w:type="dxa" w:w="1244"/>
            <w:shd w:fill="F2F2F2" w:val="clear"/>
            <w:tcBorders>
              <w:bottom w:val="single" w:sz="4" w:space="0" w:color="000000"/>
            </w:tcBorders>
          </w:tcPr>
          <w:p>
            <w:pPr>
              <w:jc w:val="center"/>
            </w:pPr>
            <w:r>
              <w:rPr>
                <w:rFonts w:ascii="Times New Roman" w:hAnsi="Times New Roman"/>
                <w:b/>
                <w:sz w:val="18"/>
              </w:rPr>
              <w:t>Weight (kg)</w:t>
            </w:r>
          </w:p>
        </w:tc>
      </w:tr>
      <w:tr>
        <w:tc>
          <w:tcPr>
            <w:tcW w:type="dxa" w:w="1244"/>
          </w:tcPr>
          <w:p>
            <w:pPr>
              <w:spacing w:before="20" w:after="20" w:line="240" w:lineRule="exact"/>
              <w:jc w:val="left"/>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xxxx/xxx</w:t>
            </w:r>
          </w:p>
        </w:tc>
        <w:tc>
          <w:tcPr>
            <w:tcW w:type="dxa" w:w="1244"/>
          </w:tcPr>
          <w:p>
            <w:pPr>
              <w:spacing w:before="20" w:after="20" w:line="240" w:lineRule="exact"/>
              <w:jc w:val="center"/>
            </w:pPr>
            <w:r>
              <w:rPr>
                <w:rFonts w:ascii="Times New Roman" w:hAnsi="Times New Roman"/>
                <w:b w:val="0"/>
                <w:sz w:val="16"/>
              </w:rPr>
              <w:t>Group</w:t>
            </w:r>
          </w:p>
        </w:tc>
        <w:tc>
          <w:tcPr>
            <w:tcW w:type="dxa" w:w="1244"/>
          </w:tcPr>
          <w:p>
            <w:pPr>
              <w:spacing w:before="20" w:after="20" w:line="240" w:lineRule="exact"/>
              <w:jc w:val="center"/>
            </w:pPr>
            <w:r>
              <w:rPr>
                <w:rFonts w:ascii="Times New Roman" w:hAnsi="Times New Roman"/>
                <w:b w:val="0"/>
                <w:sz w:val="16"/>
              </w:rPr>
              <w:t>Screening</w:t>
            </w:r>
          </w:p>
        </w:tc>
        <w:tc>
          <w:tcPr>
            <w:tcW w:type="dxa" w:w="1244"/>
          </w:tcPr>
          <w:p>
            <w:pPr>
              <w:spacing w:before="20" w:after="20" w:line="240" w:lineRule="exact"/>
              <w:jc w:val="center"/>
            </w:pPr>
            <w:r>
              <w:rPr>
                <w:rFonts w:ascii="Times New Roman" w:hAnsi="Times New Roman"/>
                <w:b w:val="0"/>
                <w:sz w:val="16"/>
              </w:rPr>
              <w:t>DDMMMYYYY</w:t>
            </w:r>
          </w:p>
        </w:tc>
        <w:tc>
          <w:tcPr>
            <w:tcW w:type="dxa" w:w="1244"/>
          </w:tcPr>
          <w:p>
            <w:pPr>
              <w:spacing w:before="20" w:after="20" w:line="240" w:lineRule="exact"/>
              <w:jc w:val="center"/>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w:t>
            </w:r>
          </w:p>
        </w:tc>
        <w:tc>
          <w:tcPr>
            <w:tcW w:type="dxa" w:w="1244"/>
          </w:tcPr>
          <w:p>
            <w:pPr>
              <w:spacing w:before="20" w:after="20" w:line="240" w:lineRule="exact"/>
              <w:jc w:val="center"/>
            </w:pPr>
            <w:r>
              <w:rPr>
                <w:rFonts w:ascii="Times New Roman" w:hAnsi="Times New Roman"/>
                <w:b w:val="0"/>
                <w:sz w:val="16"/>
              </w:rPr>
              <w:t>xx</w:t>
            </w:r>
          </w:p>
        </w:tc>
        <w:tc>
          <w:tcPr>
            <w:tcW w:type="dxa" w:w="1244"/>
          </w:tcPr>
          <w:p>
            <w:pPr>
              <w:spacing w:before="20" w:after="20" w:line="240" w:lineRule="exact"/>
              <w:jc w:val="center"/>
            </w:pPr>
            <w:r>
              <w:rPr>
                <w:rFonts w:ascii="Times New Roman" w:hAnsi="Times New Roman"/>
                <w:b w:val="0"/>
                <w:sz w:val="16"/>
              </w:rPr>
              <w:t>xx</w:t>
            </w:r>
          </w:p>
        </w:tc>
        <w:tc>
          <w:tcPr>
            <w:tcW w:type="dxa" w:w="1244"/>
          </w:tcPr>
          <w:p>
            <w:pPr>
              <w:spacing w:before="20" w:after="20" w:line="240" w:lineRule="exact"/>
              <w:jc w:val="center"/>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xx.x</w:t>
            </w:r>
          </w:p>
        </w:tc>
      </w:tr>
      <w:tr>
        <w:tc>
          <w:tcPr>
            <w:tcW w:type="dxa" w:w="1244"/>
          </w:tcPr>
          <w:p>
            <w:pPr>
              <w:spacing w:before="20" w:after="20" w:line="240" w:lineRule="exact"/>
              <w:jc w:val="left"/>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ADVS. Program: l_vitalsigns.sas.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16.2.9  Listing of ECG Data</w:t>
      </w:r>
      <w:r>
        <w:bookmarkStart w:id="0" w:name="L16.2.9"/>
        <w:bookmarkEnd w:id="0"/>
      </w:r>
    </w:p>
    <w:p>
      <w:pPr>
        <w:keepNext/>
        <w:spacing w:before="40" w:after="160"/>
      </w:pPr>
      <w:r>
        <w:rPr>
          <w:rFonts w:ascii="Times New Roman" w:hAnsi="Times New Roman"/>
          <w:i/>
          <w:sz w:val="18"/>
        </w:rPr>
        <w:t>Analysis Set: Safety Population with ECG Data</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244"/>
        <w:gridCol w:w="1244"/>
        <w:gridCol w:w="1244"/>
        <w:gridCol w:w="1244"/>
        <w:gridCol w:w="1244"/>
        <w:gridCol w:w="1244"/>
        <w:gridCol w:w="1244"/>
        <w:gridCol w:w="1244"/>
        <w:gridCol w:w="1244"/>
        <w:gridCol w:w="1244"/>
        <w:gridCol w:w="1244"/>
      </w:tblGrid>
      <w:tr>
        <w:trPr>
          <w:tblHeader w:val="true"/>
        </w:trPr>
        <w:tc>
          <w:tcPr>
            <w:tcW w:type="dxa" w:w="1244"/>
            <w:shd w:fill="F2F2F2" w:val="clear"/>
            <w:tcBorders>
              <w:bottom w:val="single" w:sz="4" w:space="0" w:color="000000"/>
            </w:tcBorders>
          </w:tcPr>
          <w:p>
            <w:pPr>
              <w:jc w:val="left"/>
            </w:pPr>
            <w:r>
              <w:rPr>
                <w:rFonts w:ascii="Times New Roman" w:hAnsi="Times New Roman"/>
                <w:b/>
                <w:sz w:val="18"/>
              </w:rPr>
              <w:t>Site</w:t>
            </w:r>
          </w:p>
        </w:tc>
        <w:tc>
          <w:tcPr>
            <w:tcW w:type="dxa" w:w="1244"/>
            <w:shd w:fill="F2F2F2" w:val="clear"/>
            <w:tcBorders>
              <w:bottom w:val="single" w:sz="4" w:space="0" w:color="000000"/>
            </w:tcBorders>
          </w:tcPr>
          <w:p>
            <w:pPr>
              <w:jc w:val="center"/>
            </w:pPr>
            <w:r>
              <w:rPr>
                <w:rFonts w:ascii="Times New Roman" w:hAnsi="Times New Roman"/>
                <w:b/>
                <w:sz w:val="18"/>
              </w:rPr>
              <w:t>Subject</w:t>
            </w:r>
          </w:p>
        </w:tc>
        <w:tc>
          <w:tcPr>
            <w:tcW w:type="dxa" w:w="1244"/>
            <w:shd w:fill="F2F2F2" w:val="clear"/>
            <w:tcBorders>
              <w:bottom w:val="single" w:sz="4" w:space="0" w:color="000000"/>
            </w:tcBorders>
          </w:tcPr>
          <w:p>
            <w:pPr>
              <w:jc w:val="center"/>
            </w:pPr>
            <w:r>
              <w:rPr>
                <w:rFonts w:ascii="Times New Roman" w:hAnsi="Times New Roman"/>
                <w:b/>
                <w:sz w:val="18"/>
              </w:rPr>
              <w:t>Group</w:t>
            </w:r>
          </w:p>
        </w:tc>
        <w:tc>
          <w:tcPr>
            <w:tcW w:type="dxa" w:w="1244"/>
            <w:shd w:fill="F2F2F2" w:val="clear"/>
            <w:tcBorders>
              <w:bottom w:val="single" w:sz="4" w:space="0" w:color="000000"/>
            </w:tcBorders>
          </w:tcPr>
          <w:p>
            <w:pPr>
              <w:jc w:val="center"/>
            </w:pPr>
            <w:r>
              <w:rPr>
                <w:rFonts w:ascii="Times New Roman" w:hAnsi="Times New Roman"/>
                <w:b/>
                <w:sz w:val="18"/>
              </w:rPr>
              <w:t>Visit</w:t>
            </w:r>
          </w:p>
        </w:tc>
        <w:tc>
          <w:tcPr>
            <w:tcW w:type="dxa" w:w="1244"/>
            <w:shd w:fill="F2F2F2" w:val="clear"/>
            <w:tcBorders>
              <w:bottom w:val="single" w:sz="4" w:space="0" w:color="000000"/>
            </w:tcBorders>
          </w:tcPr>
          <w:p>
            <w:pPr>
              <w:jc w:val="center"/>
            </w:pPr>
            <w:r>
              <w:rPr>
                <w:rFonts w:ascii="Times New Roman" w:hAnsi="Times New Roman"/>
                <w:b/>
                <w:sz w:val="18"/>
              </w:rPr>
              <w:t>Date/Time</w:t>
            </w:r>
          </w:p>
        </w:tc>
        <w:tc>
          <w:tcPr>
            <w:tcW w:type="dxa" w:w="1244"/>
            <w:shd w:fill="F2F2F2" w:val="clear"/>
            <w:tcBorders>
              <w:bottom w:val="single" w:sz="4" w:space="0" w:color="000000"/>
            </w:tcBorders>
          </w:tcPr>
          <w:p>
            <w:pPr>
              <w:spacing w:before="0" w:after="0"/>
              <w:jc w:val="center"/>
            </w:pPr>
            <w:r>
              <w:rPr>
                <w:rFonts w:ascii="Times New Roman" w:hAnsi="Times New Roman"/>
                <w:b/>
                <w:sz w:val="18"/>
              </w:rPr>
              <w:t>HR</w:t>
            </w:r>
          </w:p>
          <w:p>
            <w:pPr>
              <w:spacing w:before="0" w:after="0"/>
              <w:jc w:val="center"/>
            </w:pPr>
            <w:r>
              <w:rPr>
                <w:rFonts w:ascii="Times New Roman" w:hAnsi="Times New Roman"/>
                <w:b/>
                <w:sz w:val="18"/>
              </w:rPr>
              <w:t>(bpm)</w:t>
            </w:r>
          </w:p>
        </w:tc>
        <w:tc>
          <w:tcPr>
            <w:tcW w:type="dxa" w:w="1244"/>
            <w:shd w:fill="F2F2F2" w:val="clear"/>
            <w:tcBorders>
              <w:bottom w:val="single" w:sz="4" w:space="0" w:color="000000"/>
            </w:tcBorders>
          </w:tcPr>
          <w:p>
            <w:pPr>
              <w:spacing w:before="0" w:after="0"/>
              <w:jc w:val="center"/>
            </w:pPr>
            <w:r>
              <w:rPr>
                <w:rFonts w:ascii="Times New Roman" w:hAnsi="Times New Roman"/>
                <w:b/>
                <w:sz w:val="18"/>
              </w:rPr>
              <w:t>PR</w:t>
            </w:r>
          </w:p>
          <w:p>
            <w:pPr>
              <w:spacing w:before="0" w:after="0"/>
              <w:jc w:val="center"/>
            </w:pPr>
            <w:r>
              <w:rPr>
                <w:rFonts w:ascii="Times New Roman" w:hAnsi="Times New Roman"/>
                <w:b/>
                <w:sz w:val="18"/>
              </w:rPr>
              <w:t>(ms)</w:t>
            </w:r>
          </w:p>
        </w:tc>
        <w:tc>
          <w:tcPr>
            <w:tcW w:type="dxa" w:w="1244"/>
            <w:shd w:fill="F2F2F2" w:val="clear"/>
            <w:tcBorders>
              <w:bottom w:val="single" w:sz="4" w:space="0" w:color="000000"/>
            </w:tcBorders>
          </w:tcPr>
          <w:p>
            <w:pPr>
              <w:spacing w:before="0" w:after="0"/>
              <w:jc w:val="center"/>
            </w:pPr>
            <w:r>
              <w:rPr>
                <w:rFonts w:ascii="Times New Roman" w:hAnsi="Times New Roman"/>
                <w:b/>
                <w:sz w:val="18"/>
              </w:rPr>
              <w:t>QRS</w:t>
            </w:r>
          </w:p>
          <w:p>
            <w:pPr>
              <w:spacing w:before="0" w:after="0"/>
              <w:jc w:val="center"/>
            </w:pPr>
            <w:r>
              <w:rPr>
                <w:rFonts w:ascii="Times New Roman" w:hAnsi="Times New Roman"/>
                <w:b/>
                <w:sz w:val="18"/>
              </w:rPr>
              <w:t>(ms)</w:t>
            </w:r>
          </w:p>
        </w:tc>
        <w:tc>
          <w:tcPr>
            <w:tcW w:type="dxa" w:w="1244"/>
            <w:shd w:fill="F2F2F2" w:val="clear"/>
            <w:tcBorders>
              <w:bottom w:val="single" w:sz="4" w:space="0" w:color="000000"/>
            </w:tcBorders>
          </w:tcPr>
          <w:p>
            <w:pPr>
              <w:spacing w:before="0" w:after="0"/>
              <w:jc w:val="center"/>
            </w:pPr>
            <w:r>
              <w:rPr>
                <w:rFonts w:ascii="Times New Roman" w:hAnsi="Times New Roman"/>
                <w:b/>
                <w:sz w:val="18"/>
              </w:rPr>
              <w:t>QT</w:t>
            </w:r>
          </w:p>
          <w:p>
            <w:pPr>
              <w:spacing w:before="0" w:after="0"/>
              <w:jc w:val="center"/>
            </w:pPr>
            <w:r>
              <w:rPr>
                <w:rFonts w:ascii="Times New Roman" w:hAnsi="Times New Roman"/>
                <w:b/>
                <w:sz w:val="18"/>
              </w:rPr>
              <w:t>(ms)</w:t>
            </w:r>
          </w:p>
        </w:tc>
        <w:tc>
          <w:tcPr>
            <w:tcW w:type="dxa" w:w="1244"/>
            <w:shd w:fill="F2F2F2" w:val="clear"/>
            <w:tcBorders>
              <w:bottom w:val="single" w:sz="4" w:space="0" w:color="000000"/>
            </w:tcBorders>
          </w:tcPr>
          <w:p>
            <w:pPr>
              <w:spacing w:before="0" w:after="0"/>
              <w:jc w:val="center"/>
            </w:pPr>
            <w:r>
              <w:rPr>
                <w:rFonts w:ascii="Times New Roman" w:hAnsi="Times New Roman"/>
                <w:b/>
                <w:sz w:val="18"/>
              </w:rPr>
              <w:t>QTcF</w:t>
            </w:r>
          </w:p>
          <w:p>
            <w:pPr>
              <w:spacing w:before="0" w:after="0"/>
              <w:jc w:val="center"/>
            </w:pPr>
            <w:r>
              <w:rPr>
                <w:rFonts w:ascii="Times New Roman" w:hAnsi="Times New Roman"/>
                <w:b/>
                <w:sz w:val="18"/>
              </w:rPr>
              <w:t>(ms)</w:t>
            </w:r>
          </w:p>
        </w:tc>
        <w:tc>
          <w:tcPr>
            <w:tcW w:type="dxa" w:w="1244"/>
            <w:shd w:fill="F2F2F2" w:val="clear"/>
            <w:tcBorders>
              <w:bottom w:val="single" w:sz="4" w:space="0" w:color="000000"/>
            </w:tcBorders>
          </w:tcPr>
          <w:p>
            <w:pPr>
              <w:jc w:val="center"/>
            </w:pPr>
            <w:r>
              <w:rPr>
                <w:rFonts w:ascii="Times New Roman" w:hAnsi="Times New Roman"/>
                <w:b/>
                <w:sz w:val="18"/>
              </w:rPr>
              <w:t>Interpretation</w:t>
            </w:r>
          </w:p>
        </w:tc>
      </w:tr>
      <w:tr>
        <w:tc>
          <w:tcPr>
            <w:tcW w:type="dxa" w:w="1244"/>
          </w:tcPr>
          <w:p>
            <w:pPr>
              <w:spacing w:before="20" w:after="20" w:line="240" w:lineRule="exact"/>
              <w:jc w:val="left"/>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xxxx/xxx</w:t>
            </w:r>
          </w:p>
        </w:tc>
        <w:tc>
          <w:tcPr>
            <w:tcW w:type="dxa" w:w="1244"/>
          </w:tcPr>
          <w:p>
            <w:pPr>
              <w:spacing w:before="20" w:after="20" w:line="240" w:lineRule="exact"/>
              <w:jc w:val="center"/>
            </w:pPr>
            <w:r>
              <w:rPr>
                <w:rFonts w:ascii="Times New Roman" w:hAnsi="Times New Roman"/>
                <w:b w:val="0"/>
                <w:sz w:val="16"/>
              </w:rPr>
              <w:t>Group</w:t>
            </w:r>
          </w:p>
        </w:tc>
        <w:tc>
          <w:tcPr>
            <w:tcW w:type="dxa" w:w="1244"/>
          </w:tcPr>
          <w:p>
            <w:pPr>
              <w:spacing w:before="20" w:after="20" w:line="240" w:lineRule="exact"/>
              <w:jc w:val="center"/>
            </w:pPr>
            <w:r>
              <w:rPr>
                <w:rFonts w:ascii="Times New Roman" w:hAnsi="Times New Roman"/>
                <w:b w:val="0"/>
                <w:sz w:val="16"/>
              </w:rPr>
              <w:t>Screening</w:t>
            </w:r>
          </w:p>
        </w:tc>
        <w:tc>
          <w:tcPr>
            <w:tcW w:type="dxa" w:w="1244"/>
          </w:tcPr>
          <w:p>
            <w:pPr>
              <w:spacing w:before="20" w:after="20" w:line="240" w:lineRule="exact"/>
              <w:jc w:val="center"/>
            </w:pPr>
            <w:r>
              <w:rPr>
                <w:rFonts w:ascii="Times New Roman" w:hAnsi="Times New Roman"/>
                <w:b w:val="0"/>
                <w:sz w:val="16"/>
              </w:rPr>
              <w:t>DDMMMYYYY HH:MM</w:t>
            </w:r>
          </w:p>
        </w:tc>
        <w:tc>
          <w:tcPr>
            <w:tcW w:type="dxa" w:w="1244"/>
          </w:tcPr>
          <w:p>
            <w:pPr>
              <w:spacing w:before="20" w:after="20" w:line="240" w:lineRule="exact"/>
              <w:jc w:val="center"/>
            </w:pPr>
            <w:r>
              <w:rPr>
                <w:rFonts w:ascii="Times New Roman" w:hAnsi="Times New Roman"/>
                <w:b w:val="0"/>
                <w:sz w:val="16"/>
              </w:rPr>
              <w:t>xx</w:t>
            </w:r>
          </w:p>
        </w:tc>
        <w:tc>
          <w:tcPr>
            <w:tcW w:type="dxa" w:w="1244"/>
          </w:tcPr>
          <w:p>
            <w:pPr>
              <w:spacing w:before="20" w:after="20" w:line="240" w:lineRule="exact"/>
              <w:jc w:val="center"/>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w:t>
            </w:r>
          </w:p>
        </w:tc>
        <w:tc>
          <w:tcPr>
            <w:tcW w:type="dxa" w:w="1244"/>
          </w:tcPr>
          <w:p>
            <w:pPr>
              <w:spacing w:before="20" w:after="20" w:line="240" w:lineRule="exact"/>
              <w:jc w:val="center"/>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Normal/Abnormal NCS/Abnormal CS</w:t>
            </w:r>
          </w:p>
        </w:tc>
      </w:tr>
      <w:tr>
        <w:tc>
          <w:tcPr>
            <w:tcW w:type="dxa" w:w="1244"/>
          </w:tcPr>
          <w:p>
            <w:pPr>
              <w:spacing w:before="20" w:after="20" w:line="240" w:lineRule="exact"/>
              <w:jc w:val="left"/>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ADEG. Program: l_ecg.sas.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16.2.10  Listing of Tumor Response Data</w:t>
      </w:r>
      <w:r>
        <w:bookmarkStart w:id="0" w:name="L16.2.10"/>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244"/>
        <w:gridCol w:w="1244"/>
        <w:gridCol w:w="1244"/>
        <w:gridCol w:w="1244"/>
        <w:gridCol w:w="1244"/>
        <w:gridCol w:w="1244"/>
        <w:gridCol w:w="1244"/>
        <w:gridCol w:w="1244"/>
        <w:gridCol w:w="1244"/>
        <w:gridCol w:w="1244"/>
        <w:gridCol w:w="1244"/>
      </w:tblGrid>
      <w:tr>
        <w:trPr>
          <w:tblHeader w:val="true"/>
        </w:trPr>
        <w:tc>
          <w:tcPr>
            <w:tcW w:type="dxa" w:w="1244"/>
            <w:shd w:fill="F2F2F2" w:val="clear"/>
            <w:tcBorders>
              <w:bottom w:val="single" w:sz="4" w:space="0" w:color="000000"/>
            </w:tcBorders>
          </w:tcPr>
          <w:p>
            <w:pPr>
              <w:jc w:val="left"/>
            </w:pPr>
            <w:r>
              <w:rPr>
                <w:rFonts w:ascii="Times New Roman" w:hAnsi="Times New Roman"/>
                <w:b/>
                <w:sz w:val="18"/>
              </w:rPr>
              <w:t>Site</w:t>
            </w:r>
          </w:p>
        </w:tc>
        <w:tc>
          <w:tcPr>
            <w:tcW w:type="dxa" w:w="1244"/>
            <w:shd w:fill="F2F2F2" w:val="clear"/>
            <w:tcBorders>
              <w:bottom w:val="single" w:sz="4" w:space="0" w:color="000000"/>
            </w:tcBorders>
          </w:tcPr>
          <w:p>
            <w:pPr>
              <w:jc w:val="center"/>
            </w:pPr>
            <w:r>
              <w:rPr>
                <w:rFonts w:ascii="Times New Roman" w:hAnsi="Times New Roman"/>
                <w:b/>
                <w:sz w:val="18"/>
              </w:rPr>
              <w:t>Subject</w:t>
            </w:r>
          </w:p>
        </w:tc>
        <w:tc>
          <w:tcPr>
            <w:tcW w:type="dxa" w:w="1244"/>
            <w:shd w:fill="F2F2F2" w:val="clear"/>
            <w:tcBorders>
              <w:bottom w:val="single" w:sz="4" w:space="0" w:color="000000"/>
            </w:tcBorders>
          </w:tcPr>
          <w:p>
            <w:pPr>
              <w:jc w:val="center"/>
            </w:pPr>
            <w:r>
              <w:rPr>
                <w:rFonts w:ascii="Times New Roman" w:hAnsi="Times New Roman"/>
                <w:b/>
                <w:sz w:val="18"/>
              </w:rPr>
              <w:t>Group</w:t>
            </w:r>
          </w:p>
        </w:tc>
        <w:tc>
          <w:tcPr>
            <w:tcW w:type="dxa" w:w="1244"/>
            <w:shd w:fill="F2F2F2" w:val="clear"/>
            <w:tcBorders>
              <w:bottom w:val="single" w:sz="4" w:space="0" w:color="000000"/>
            </w:tcBorders>
          </w:tcPr>
          <w:p>
            <w:pPr>
              <w:jc w:val="center"/>
            </w:pPr>
            <w:r>
              <w:rPr>
                <w:rFonts w:ascii="Times New Roman" w:hAnsi="Times New Roman"/>
                <w:b/>
                <w:sz w:val="18"/>
              </w:rPr>
              <w:t>Visit</w:t>
            </w:r>
          </w:p>
        </w:tc>
        <w:tc>
          <w:tcPr>
            <w:tcW w:type="dxa" w:w="1244"/>
            <w:shd w:fill="F2F2F2" w:val="clear"/>
            <w:tcBorders>
              <w:bottom w:val="single" w:sz="4" w:space="0" w:color="000000"/>
            </w:tcBorders>
          </w:tcPr>
          <w:p>
            <w:pPr>
              <w:jc w:val="center"/>
            </w:pPr>
            <w:r>
              <w:rPr>
                <w:rFonts w:ascii="Times New Roman" w:hAnsi="Times New Roman"/>
                <w:b/>
                <w:sz w:val="18"/>
              </w:rPr>
              <w:t>Assessment Date</w:t>
            </w:r>
          </w:p>
        </w:tc>
        <w:tc>
          <w:tcPr>
            <w:tcW w:type="dxa" w:w="1244"/>
            <w:shd w:fill="F2F2F2" w:val="clear"/>
            <w:tcBorders>
              <w:bottom w:val="single" w:sz="4" w:space="0" w:color="000000"/>
            </w:tcBorders>
          </w:tcPr>
          <w:p>
            <w:pPr>
              <w:spacing w:before="0" w:after="0"/>
              <w:jc w:val="center"/>
            </w:pPr>
            <w:r>
              <w:rPr>
                <w:rFonts w:ascii="Times New Roman" w:hAnsi="Times New Roman"/>
                <w:b/>
                <w:sz w:val="18"/>
              </w:rPr>
              <w:t>Target Lesion Sum</w:t>
            </w:r>
          </w:p>
          <w:p>
            <w:pPr>
              <w:spacing w:before="0" w:after="0"/>
              <w:jc w:val="center"/>
            </w:pPr>
            <w:r>
              <w:rPr>
                <w:rFonts w:ascii="Times New Roman" w:hAnsi="Times New Roman"/>
                <w:b/>
                <w:sz w:val="18"/>
              </w:rPr>
              <w:t>(mm)</w:t>
            </w:r>
          </w:p>
        </w:tc>
        <w:tc>
          <w:tcPr>
            <w:tcW w:type="dxa" w:w="1244"/>
            <w:shd w:fill="F2F2F2" w:val="clear"/>
            <w:tcBorders>
              <w:bottom w:val="single" w:sz="4" w:space="0" w:color="000000"/>
            </w:tcBorders>
          </w:tcPr>
          <w:p>
            <w:pPr>
              <w:spacing w:before="0" w:after="0"/>
              <w:jc w:val="center"/>
            </w:pPr>
            <w:r>
              <w:rPr>
                <w:rFonts w:ascii="Times New Roman" w:hAnsi="Times New Roman"/>
                <w:b/>
                <w:sz w:val="18"/>
              </w:rPr>
              <w:t>% Change</w:t>
            </w:r>
          </w:p>
          <w:p>
            <w:pPr>
              <w:spacing w:before="0" w:after="0"/>
              <w:jc w:val="center"/>
            </w:pPr>
            <w:r>
              <w:rPr>
                <w:rFonts w:ascii="Times New Roman" w:hAnsi="Times New Roman"/>
                <w:b/>
                <w:sz w:val="18"/>
              </w:rPr>
              <w:t>from BL</w:t>
            </w:r>
          </w:p>
        </w:tc>
        <w:tc>
          <w:tcPr>
            <w:tcW w:type="dxa" w:w="1244"/>
            <w:shd w:fill="F2F2F2" w:val="clear"/>
            <w:tcBorders>
              <w:bottom w:val="single" w:sz="4" w:space="0" w:color="000000"/>
            </w:tcBorders>
          </w:tcPr>
          <w:p>
            <w:pPr>
              <w:jc w:val="center"/>
            </w:pPr>
            <w:r>
              <w:rPr>
                <w:rFonts w:ascii="Times New Roman" w:hAnsi="Times New Roman"/>
                <w:b/>
                <w:sz w:val="18"/>
              </w:rPr>
              <w:t>Non-Target Status</w:t>
            </w:r>
          </w:p>
        </w:tc>
        <w:tc>
          <w:tcPr>
            <w:tcW w:type="dxa" w:w="1244"/>
            <w:shd w:fill="F2F2F2" w:val="clear"/>
            <w:tcBorders>
              <w:bottom w:val="single" w:sz="4" w:space="0" w:color="000000"/>
            </w:tcBorders>
          </w:tcPr>
          <w:p>
            <w:pPr>
              <w:jc w:val="center"/>
            </w:pPr>
            <w:r>
              <w:rPr>
                <w:rFonts w:ascii="Times New Roman" w:hAnsi="Times New Roman"/>
                <w:b/>
                <w:sz w:val="18"/>
              </w:rPr>
              <w:t>New Lesions?</w:t>
            </w:r>
          </w:p>
        </w:tc>
        <w:tc>
          <w:tcPr>
            <w:tcW w:type="dxa" w:w="1244"/>
            <w:shd w:fill="F2F2F2" w:val="clear"/>
            <w:tcBorders>
              <w:bottom w:val="single" w:sz="4" w:space="0" w:color="000000"/>
            </w:tcBorders>
          </w:tcPr>
          <w:p>
            <w:pPr>
              <w:jc w:val="center"/>
            </w:pPr>
            <w:r>
              <w:rPr>
                <w:rFonts w:ascii="Times New Roman" w:hAnsi="Times New Roman"/>
                <w:b/>
                <w:sz w:val="18"/>
              </w:rPr>
              <w:t>Overall Response</w:t>
            </w:r>
          </w:p>
        </w:tc>
        <w:tc>
          <w:tcPr>
            <w:tcW w:type="dxa" w:w="1244"/>
            <w:shd w:fill="F2F2F2" w:val="clear"/>
            <w:tcBorders>
              <w:bottom w:val="single" w:sz="4" w:space="0" w:color="000000"/>
            </w:tcBorders>
          </w:tcPr>
          <w:p>
            <w:pPr>
              <w:jc w:val="center"/>
            </w:pPr>
            <w:r>
              <w:rPr>
                <w:rFonts w:ascii="Times New Roman" w:hAnsi="Times New Roman"/>
                <w:b/>
                <w:sz w:val="18"/>
              </w:rPr>
              <w:t>BOR</w:t>
            </w:r>
          </w:p>
        </w:tc>
      </w:tr>
      <w:tr>
        <w:tc>
          <w:tcPr>
            <w:tcW w:type="dxa" w:w="1244"/>
          </w:tcPr>
          <w:p>
            <w:pPr>
              <w:spacing w:before="20" w:after="20" w:line="240" w:lineRule="exact"/>
              <w:jc w:val="left"/>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xxxx/xxx</w:t>
            </w:r>
          </w:p>
        </w:tc>
        <w:tc>
          <w:tcPr>
            <w:tcW w:type="dxa" w:w="1244"/>
          </w:tcPr>
          <w:p>
            <w:pPr>
              <w:spacing w:before="20" w:after="20" w:line="240" w:lineRule="exact"/>
              <w:jc w:val="center"/>
            </w:pPr>
            <w:r>
              <w:rPr>
                <w:rFonts w:ascii="Times New Roman" w:hAnsi="Times New Roman"/>
                <w:b w:val="0"/>
                <w:sz w:val="16"/>
              </w:rPr>
              <w:t>Group</w:t>
            </w:r>
          </w:p>
        </w:tc>
        <w:tc>
          <w:tcPr>
            <w:tcW w:type="dxa" w:w="1244"/>
          </w:tcPr>
          <w:p>
            <w:pPr>
              <w:spacing w:before="20" w:after="20" w:line="240" w:lineRule="exact"/>
              <w:jc w:val="center"/>
            </w:pPr>
            <w:r>
              <w:rPr>
                <w:rFonts w:ascii="Times New Roman" w:hAnsi="Times New Roman"/>
                <w:b w:val="0"/>
                <w:sz w:val="16"/>
              </w:rPr>
              <w:t>Screening/Wk xx</w:t>
            </w:r>
          </w:p>
        </w:tc>
        <w:tc>
          <w:tcPr>
            <w:tcW w:type="dxa" w:w="1244"/>
          </w:tcPr>
          <w:p>
            <w:pPr>
              <w:spacing w:before="20" w:after="20" w:line="240" w:lineRule="exact"/>
              <w:jc w:val="center"/>
            </w:pPr>
            <w:r>
              <w:rPr>
                <w:rFonts w:ascii="Times New Roman" w:hAnsi="Times New Roman"/>
                <w:b w:val="0"/>
                <w:sz w:val="16"/>
              </w:rPr>
              <w:t>DDMMMYYYY</w:t>
            </w:r>
          </w:p>
        </w:tc>
        <w:tc>
          <w:tcPr>
            <w:tcW w:type="dxa" w:w="1244"/>
          </w:tcPr>
          <w:p>
            <w:pPr>
              <w:spacing w:before="20" w:after="20" w:line="240" w:lineRule="exact"/>
              <w:jc w:val="center"/>
            </w:pPr>
            <w:r>
              <w:rPr>
                <w:rFonts w:ascii="Times New Roman" w:hAnsi="Times New Roman"/>
                <w:b w:val="0"/>
                <w:sz w:val="16"/>
              </w:rPr>
              <w:t>xxx.x</w:t>
            </w:r>
          </w:p>
        </w:tc>
        <w:tc>
          <w:tcPr>
            <w:tcW w:type="dxa" w:w="1244"/>
          </w:tcPr>
          <w:p>
            <w:pPr>
              <w:spacing w:before="20" w:after="20" w:line="240" w:lineRule="exact"/>
              <w:jc w:val="center"/>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Present/Absent</w:t>
            </w:r>
          </w:p>
        </w:tc>
        <w:tc>
          <w:tcPr>
            <w:tcW w:type="dxa" w:w="1244"/>
          </w:tcPr>
          <w:p>
            <w:pPr>
              <w:spacing w:before="20" w:after="20" w:line="240" w:lineRule="exact"/>
              <w:jc w:val="center"/>
            </w:pPr>
            <w:r>
              <w:rPr>
                <w:rFonts w:ascii="Times New Roman" w:hAnsi="Times New Roman"/>
                <w:b w:val="0"/>
                <w:sz w:val="16"/>
              </w:rPr>
              <w:t>Y/N</w:t>
            </w:r>
          </w:p>
        </w:tc>
        <w:tc>
          <w:tcPr>
            <w:tcW w:type="dxa" w:w="1244"/>
          </w:tcPr>
          <w:p>
            <w:pPr>
              <w:spacing w:before="20" w:after="20" w:line="240" w:lineRule="exact"/>
              <w:jc w:val="center"/>
            </w:pPr>
            <w:r>
              <w:rPr>
                <w:rFonts w:ascii="Times New Roman" w:hAnsi="Times New Roman"/>
                <w:b w:val="0"/>
                <w:sz w:val="16"/>
              </w:rPr>
              <w:t>CR/PR/SD/PD/NE</w:t>
            </w:r>
          </w:p>
        </w:tc>
        <w:tc>
          <w:tcPr>
            <w:tcW w:type="dxa" w:w="1244"/>
          </w:tcPr>
          <w:p>
            <w:pPr>
              <w:spacing w:before="20" w:after="20" w:line="240" w:lineRule="exact"/>
              <w:jc w:val="center"/>
            </w:pPr>
            <w:r>
              <w:rPr>
                <w:rFonts w:ascii="Times New Roman" w:hAnsi="Times New Roman"/>
                <w:b w:val="0"/>
                <w:sz w:val="16"/>
              </w:rPr>
              <w:t>CR/PR/SD/PD/NE</w:t>
            </w:r>
          </w:p>
        </w:tc>
      </w:tr>
      <w:tr>
        <w:tc>
          <w:tcPr>
            <w:tcW w:type="dxa" w:w="1244"/>
          </w:tcPr>
          <w:p>
            <w:pPr>
              <w:spacing w:before="20" w:after="20" w:line="240" w:lineRule="exact"/>
              <w:jc w:val="left"/>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ADRS. Program: l_tumor_response.sas.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16.2.11  Listing of Survival Data</w:t>
      </w:r>
      <w:r>
        <w:bookmarkStart w:id="0" w:name="L16.2.11"/>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368"/>
        <w:gridCol w:w="1368"/>
        <w:gridCol w:w="1368"/>
        <w:gridCol w:w="1368"/>
        <w:gridCol w:w="1368"/>
        <w:gridCol w:w="1368"/>
        <w:gridCol w:w="1368"/>
        <w:gridCol w:w="1368"/>
        <w:gridCol w:w="1368"/>
        <w:gridCol w:w="1368"/>
      </w:tblGrid>
      <w:tr>
        <w:trPr>
          <w:tblHeader w:val="true"/>
        </w:trPr>
        <w:tc>
          <w:tcPr>
            <w:tcW w:type="dxa" w:w="1368"/>
            <w:shd w:fill="F2F2F2" w:val="clear"/>
            <w:tcBorders>
              <w:bottom w:val="single" w:sz="4" w:space="0" w:color="000000"/>
            </w:tcBorders>
          </w:tcPr>
          <w:p>
            <w:pPr>
              <w:jc w:val="left"/>
            </w:pPr>
            <w:r>
              <w:rPr>
                <w:rFonts w:ascii="Times New Roman" w:hAnsi="Times New Roman"/>
                <w:b/>
                <w:sz w:val="18"/>
              </w:rPr>
              <w:t>Site</w:t>
            </w:r>
          </w:p>
        </w:tc>
        <w:tc>
          <w:tcPr>
            <w:tcW w:type="dxa" w:w="1368"/>
            <w:shd w:fill="F2F2F2" w:val="clear"/>
            <w:tcBorders>
              <w:bottom w:val="single" w:sz="4" w:space="0" w:color="000000"/>
            </w:tcBorders>
          </w:tcPr>
          <w:p>
            <w:pPr>
              <w:jc w:val="center"/>
            </w:pPr>
            <w:r>
              <w:rPr>
                <w:rFonts w:ascii="Times New Roman" w:hAnsi="Times New Roman"/>
                <w:b/>
                <w:sz w:val="18"/>
              </w:rPr>
              <w:t>Subject</w:t>
            </w:r>
          </w:p>
        </w:tc>
        <w:tc>
          <w:tcPr>
            <w:tcW w:type="dxa" w:w="1368"/>
            <w:shd w:fill="F2F2F2" w:val="clear"/>
            <w:tcBorders>
              <w:bottom w:val="single" w:sz="4" w:space="0" w:color="000000"/>
            </w:tcBorders>
          </w:tcPr>
          <w:p>
            <w:pPr>
              <w:jc w:val="center"/>
            </w:pPr>
            <w:r>
              <w:rPr>
                <w:rFonts w:ascii="Times New Roman" w:hAnsi="Times New Roman"/>
                <w:b/>
                <w:sz w:val="18"/>
              </w:rPr>
              <w:t>Group</w:t>
            </w:r>
          </w:p>
        </w:tc>
        <w:tc>
          <w:tcPr>
            <w:tcW w:type="dxa" w:w="1368"/>
            <w:shd w:fill="F2F2F2" w:val="clear"/>
            <w:tcBorders>
              <w:bottom w:val="single" w:sz="4" w:space="0" w:color="000000"/>
            </w:tcBorders>
          </w:tcPr>
          <w:p>
            <w:pPr>
              <w:jc w:val="center"/>
            </w:pPr>
            <w:r>
              <w:rPr>
                <w:rFonts w:ascii="Times New Roman" w:hAnsi="Times New Roman"/>
                <w:b/>
                <w:sz w:val="18"/>
              </w:rPr>
              <w:t>Date of Last Contact</w:t>
            </w:r>
          </w:p>
        </w:tc>
        <w:tc>
          <w:tcPr>
            <w:tcW w:type="dxa" w:w="1368"/>
            <w:shd w:fill="F2F2F2" w:val="clear"/>
            <w:tcBorders>
              <w:bottom w:val="single" w:sz="4" w:space="0" w:color="000000"/>
            </w:tcBorders>
          </w:tcPr>
          <w:p>
            <w:pPr>
              <w:jc w:val="center"/>
            </w:pPr>
            <w:r>
              <w:rPr>
                <w:rFonts w:ascii="Times New Roman" w:hAnsi="Times New Roman"/>
                <w:b/>
                <w:sz w:val="18"/>
              </w:rPr>
              <w:t>Vital Status</w:t>
            </w:r>
          </w:p>
        </w:tc>
        <w:tc>
          <w:tcPr>
            <w:tcW w:type="dxa" w:w="1368"/>
            <w:shd w:fill="F2F2F2" w:val="clear"/>
            <w:tcBorders>
              <w:bottom w:val="single" w:sz="4" w:space="0" w:color="000000"/>
            </w:tcBorders>
          </w:tcPr>
          <w:p>
            <w:pPr>
              <w:jc w:val="center"/>
            </w:pPr>
            <w:r>
              <w:rPr>
                <w:rFonts w:ascii="Times New Roman" w:hAnsi="Times New Roman"/>
                <w:b/>
                <w:sz w:val="18"/>
              </w:rPr>
              <w:t>Date of Death</w:t>
            </w:r>
          </w:p>
        </w:tc>
        <w:tc>
          <w:tcPr>
            <w:tcW w:type="dxa" w:w="1368"/>
            <w:shd w:fill="F2F2F2" w:val="clear"/>
            <w:tcBorders>
              <w:bottom w:val="single" w:sz="4" w:space="0" w:color="000000"/>
            </w:tcBorders>
          </w:tcPr>
          <w:p>
            <w:pPr>
              <w:jc w:val="center"/>
            </w:pPr>
            <w:r>
              <w:rPr>
                <w:rFonts w:ascii="Times New Roman" w:hAnsi="Times New Roman"/>
                <w:b/>
                <w:sz w:val="18"/>
              </w:rPr>
              <w:t>Primary Cause of Death</w:t>
            </w:r>
          </w:p>
        </w:tc>
        <w:tc>
          <w:tcPr>
            <w:tcW w:type="dxa" w:w="1368"/>
            <w:shd w:fill="F2F2F2" w:val="clear"/>
            <w:tcBorders>
              <w:bottom w:val="single" w:sz="4" w:space="0" w:color="000000"/>
            </w:tcBorders>
          </w:tcPr>
          <w:p>
            <w:pPr>
              <w:jc w:val="center"/>
            </w:pPr>
            <w:r>
              <w:rPr>
                <w:rFonts w:ascii="Times New Roman" w:hAnsi="Times New Roman"/>
                <w:b/>
                <w:sz w:val="18"/>
              </w:rPr>
              <w:t>PFS Event Date</w:t>
            </w:r>
          </w:p>
        </w:tc>
        <w:tc>
          <w:tcPr>
            <w:tcW w:type="dxa" w:w="1368"/>
            <w:shd w:fill="F2F2F2" w:val="clear"/>
            <w:tcBorders>
              <w:bottom w:val="single" w:sz="4" w:space="0" w:color="000000"/>
            </w:tcBorders>
          </w:tcPr>
          <w:p>
            <w:pPr>
              <w:jc w:val="center"/>
            </w:pPr>
            <w:r>
              <w:rPr>
                <w:rFonts w:ascii="Times New Roman" w:hAnsi="Times New Roman"/>
                <w:b/>
                <w:sz w:val="18"/>
              </w:rPr>
              <w:t>PFS Censor</w:t>
            </w:r>
          </w:p>
        </w:tc>
        <w:tc>
          <w:tcPr>
            <w:tcW w:type="dxa" w:w="1368"/>
            <w:shd w:fill="F2F2F2" w:val="clear"/>
            <w:tcBorders>
              <w:bottom w:val="single" w:sz="4" w:space="0" w:color="000000"/>
            </w:tcBorders>
          </w:tcPr>
          <w:p>
            <w:pPr>
              <w:jc w:val="center"/>
            </w:pPr>
            <w:r>
              <w:rPr>
                <w:rFonts w:ascii="Times New Roman" w:hAnsi="Times New Roman"/>
                <w:b/>
                <w:sz w:val="18"/>
              </w:rPr>
              <w:t>OS Censor</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DDMMMYYYY</w:t>
            </w:r>
          </w:p>
        </w:tc>
        <w:tc>
          <w:tcPr>
            <w:tcW w:type="dxa" w:w="1368"/>
          </w:tcPr>
          <w:p>
            <w:pPr>
              <w:spacing w:before="20" w:after="20" w:line="240" w:lineRule="exact"/>
              <w:jc w:val="center"/>
            </w:pPr>
            <w:r>
              <w:rPr>
                <w:rFonts w:ascii="Times New Roman" w:hAnsi="Times New Roman"/>
                <w:b w:val="0"/>
                <w:sz w:val="16"/>
              </w:rPr>
              <w:t>Alive/Dead/LTFU</w:t>
            </w:r>
          </w:p>
        </w:tc>
        <w:tc>
          <w:tcPr>
            <w:tcW w:type="dxa" w:w="1368"/>
          </w:tcPr>
          <w:p>
            <w:pPr>
              <w:spacing w:before="20" w:after="20" w:line="240" w:lineRule="exact"/>
              <w:jc w:val="center"/>
            </w:pPr>
            <w:r>
              <w:rPr>
                <w:rFonts w:ascii="Times New Roman" w:hAnsi="Times New Roman"/>
                <w:b w:val="0"/>
                <w:sz w:val="16"/>
              </w:rPr>
              <w:t>DDMMMYYYY</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DDMMMYYYY</w:t>
            </w:r>
          </w:p>
        </w:tc>
        <w:tc>
          <w:tcPr>
            <w:tcW w:type="dxa" w:w="1368"/>
          </w:tcPr>
          <w:p>
            <w:pPr>
              <w:spacing w:before="20" w:after="20" w:line="240" w:lineRule="exact"/>
              <w:jc w:val="center"/>
            </w:pPr>
            <w:r>
              <w:rPr>
                <w:rFonts w:ascii="Times New Roman" w:hAnsi="Times New Roman"/>
                <w:b w:val="0"/>
                <w:sz w:val="16"/>
              </w:rPr>
              <w:t>Y/N</w:t>
            </w:r>
          </w:p>
        </w:tc>
        <w:tc>
          <w:tcPr>
            <w:tcW w:type="dxa" w:w="1368"/>
          </w:tcPr>
          <w:p>
            <w:pPr>
              <w:spacing w:before="20" w:after="20" w:line="240" w:lineRule="exact"/>
              <w:jc w:val="center"/>
            </w:pPr>
            <w:r>
              <w:rPr>
                <w:rFonts w:ascii="Times New Roman" w:hAnsi="Times New Roman"/>
                <w:b w:val="0"/>
                <w:sz w:val="16"/>
              </w:rPr>
              <w:t>Y/N</w:t>
            </w:r>
          </w:p>
        </w:tc>
      </w:tr>
      <w:tr>
        <w:tc>
          <w:tcPr>
            <w:tcW w:type="dxa" w:w="1368"/>
          </w:tcPr>
          <w:p>
            <w:pPr>
              <w:spacing w:before="20" w:after="20" w:line="240" w:lineRule="exact"/>
              <w:jc w:val="left"/>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ADTTE. Program: l_survival.sas.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16.2.12  Listing of Study Drug Exposure and Dose Modifications</w:t>
      </w:r>
      <w:r>
        <w:bookmarkStart w:id="0" w:name="L16.2.12"/>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54"/>
        <w:gridCol w:w="1954"/>
        <w:gridCol w:w="1954"/>
        <w:gridCol w:w="1954"/>
        <w:gridCol w:w="1954"/>
        <w:gridCol w:w="1954"/>
        <w:gridCol w:w="1954"/>
      </w:tblGrid>
      <w:tr>
        <w:trPr>
          <w:tblHeader w:val="true"/>
        </w:trPr>
        <w:tc>
          <w:tcPr>
            <w:tcW w:type="dxa" w:w="1954"/>
            <w:shd w:fill="F2F2F2" w:val="clear"/>
            <w:tcBorders>
              <w:bottom w:val="single" w:sz="4" w:space="0" w:color="000000"/>
            </w:tcBorders>
          </w:tcPr>
          <w:p>
            <w:pPr>
              <w:jc w:val="left"/>
            </w:pPr>
            <w:r>
              <w:rPr>
                <w:rFonts w:ascii="Times New Roman" w:hAnsi="Times New Roman"/>
                <w:b/>
                <w:sz w:val="18"/>
              </w:rPr>
              <w:t>Site</w:t>
            </w:r>
          </w:p>
        </w:tc>
        <w:tc>
          <w:tcPr>
            <w:tcW w:type="dxa" w:w="1954"/>
            <w:shd w:fill="F2F2F2" w:val="clear"/>
            <w:tcBorders>
              <w:bottom w:val="single" w:sz="4" w:space="0" w:color="000000"/>
            </w:tcBorders>
          </w:tcPr>
          <w:p>
            <w:pPr>
              <w:jc w:val="center"/>
            </w:pPr>
            <w:r>
              <w:rPr>
                <w:rFonts w:ascii="Times New Roman" w:hAnsi="Times New Roman"/>
                <w:b/>
                <w:sz w:val="18"/>
              </w:rPr>
              <w:t>Subject</w:t>
            </w:r>
          </w:p>
        </w:tc>
        <w:tc>
          <w:tcPr>
            <w:tcW w:type="dxa" w:w="1954"/>
            <w:shd w:fill="F2F2F2" w:val="clear"/>
            <w:tcBorders>
              <w:bottom w:val="single" w:sz="4" w:space="0" w:color="000000"/>
            </w:tcBorders>
          </w:tcPr>
          <w:p>
            <w:pPr>
              <w:jc w:val="center"/>
            </w:pPr>
            <w:r>
              <w:rPr>
                <w:rFonts w:ascii="Times New Roman" w:hAnsi="Times New Roman"/>
                <w:b/>
                <w:sz w:val="18"/>
              </w:rPr>
              <w:t>Group</w:t>
            </w:r>
          </w:p>
        </w:tc>
        <w:tc>
          <w:tcPr>
            <w:tcW w:type="dxa" w:w="1954"/>
            <w:shd w:fill="F2F2F2" w:val="clear"/>
            <w:tcBorders>
              <w:bottom w:val="single" w:sz="4" w:space="0" w:color="000000"/>
            </w:tcBorders>
          </w:tcPr>
          <w:p>
            <w:pPr>
              <w:jc w:val="center"/>
            </w:pPr>
            <w:r>
              <w:rPr>
                <w:rFonts w:ascii="Times New Roman" w:hAnsi="Times New Roman"/>
                <w:b/>
                <w:sz w:val="18"/>
              </w:rPr>
              <w:t>Cycle/Day</w:t>
            </w:r>
          </w:p>
        </w:tc>
        <w:tc>
          <w:tcPr>
            <w:tcW w:type="dxa" w:w="1954"/>
            <w:shd w:fill="F2F2F2" w:val="clear"/>
            <w:tcBorders>
              <w:bottom w:val="single" w:sz="4" w:space="0" w:color="000000"/>
            </w:tcBorders>
          </w:tcPr>
          <w:p>
            <w:pPr>
              <w:jc w:val="center"/>
            </w:pPr>
            <w:r>
              <w:rPr>
                <w:rFonts w:ascii="Times New Roman" w:hAnsi="Times New Roman"/>
                <w:b/>
                <w:sz w:val="18"/>
              </w:rPr>
              <w:t>Planned Dose</w:t>
            </w:r>
          </w:p>
        </w:tc>
        <w:tc>
          <w:tcPr>
            <w:tcW w:type="dxa" w:w="1954"/>
            <w:shd w:fill="F2F2F2" w:val="clear"/>
            <w:tcBorders>
              <w:bottom w:val="single" w:sz="4" w:space="0" w:color="000000"/>
            </w:tcBorders>
          </w:tcPr>
          <w:p>
            <w:pPr>
              <w:jc w:val="center"/>
            </w:pPr>
            <w:r>
              <w:rPr>
                <w:rFonts w:ascii="Times New Roman" w:hAnsi="Times New Roman"/>
                <w:b/>
                <w:sz w:val="18"/>
              </w:rPr>
              <w:t>Actual Dose</w:t>
            </w:r>
          </w:p>
        </w:tc>
        <w:tc>
          <w:tcPr>
            <w:tcW w:type="dxa" w:w="1954"/>
            <w:shd w:fill="F2F2F2" w:val="clear"/>
            <w:tcBorders>
              <w:bottom w:val="single" w:sz="4" w:space="0" w:color="000000"/>
            </w:tcBorders>
          </w:tcPr>
          <w:p>
            <w:pPr>
              <w:jc w:val="center"/>
            </w:pPr>
            <w:r>
              <w:rPr>
                <w:rFonts w:ascii="Times New Roman" w:hAnsi="Times New Roman"/>
                <w:b/>
                <w:sz w:val="18"/>
              </w:rPr>
              <w:t>Modification Reason</w:t>
            </w:r>
          </w:p>
        </w:tc>
      </w:tr>
      <w:tr>
        <w:tc>
          <w:tcPr>
            <w:tcW w:type="dxa" w:w="1954"/>
          </w:tcPr>
          <w:p>
            <w:pPr>
              <w:spacing w:before="20" w:after="20" w:line="240" w:lineRule="exact"/>
              <w:jc w:val="left"/>
            </w:pPr>
            <w:r>
              <w:rPr>
                <w:rFonts w:ascii="Times New Roman" w:hAnsi="Times New Roman"/>
                <w:b w:val="0"/>
                <w:sz w:val="16"/>
              </w:rPr>
              <w:t>xxx</w:t>
            </w:r>
          </w:p>
        </w:tc>
        <w:tc>
          <w:tcPr>
            <w:tcW w:type="dxa" w:w="1954"/>
          </w:tcPr>
          <w:p>
            <w:pPr>
              <w:spacing w:before="20" w:after="20" w:line="240" w:lineRule="exact"/>
              <w:jc w:val="center"/>
            </w:pPr>
            <w:r>
              <w:rPr>
                <w:rFonts w:ascii="Times New Roman" w:hAnsi="Times New Roman"/>
                <w:b w:val="0"/>
                <w:sz w:val="16"/>
              </w:rPr>
              <w:t>xxxx/xxx</w:t>
            </w:r>
          </w:p>
        </w:tc>
        <w:tc>
          <w:tcPr>
            <w:tcW w:type="dxa" w:w="1954"/>
          </w:tcPr>
          <w:p>
            <w:pPr>
              <w:spacing w:before="20" w:after="20" w:line="240" w:lineRule="exact"/>
              <w:jc w:val="center"/>
            </w:pPr>
            <w:r>
              <w:rPr>
                <w:rFonts w:ascii="Times New Roman" w:hAnsi="Times New Roman"/>
                <w:b w:val="0"/>
                <w:sz w:val="16"/>
              </w:rPr>
              <w:t>Group</w:t>
            </w:r>
          </w:p>
        </w:tc>
        <w:tc>
          <w:tcPr>
            <w:tcW w:type="dxa" w:w="1954"/>
          </w:tcPr>
          <w:p>
            <w:pPr>
              <w:spacing w:before="20" w:after="20" w:line="240" w:lineRule="exact"/>
              <w:jc w:val="center"/>
            </w:pPr>
            <w:r>
              <w:rPr>
                <w:rFonts w:ascii="Times New Roman" w:hAnsi="Times New Roman"/>
                <w:b w:val="0"/>
                <w:sz w:val="16"/>
              </w:rPr>
              <w:t>CxDx</w:t>
            </w:r>
          </w:p>
        </w:tc>
        <w:tc>
          <w:tcPr>
            <w:tcW w:type="dxa" w:w="1954"/>
          </w:tcPr>
          <w:p>
            <w:pPr>
              <w:spacing w:before="20" w:after="20" w:line="240" w:lineRule="exact"/>
              <w:jc w:val="center"/>
            </w:pPr>
            <w:r>
              <w:rPr>
                <w:rFonts w:ascii="Times New Roman" w:hAnsi="Times New Roman"/>
                <w:b w:val="0"/>
                <w:sz w:val="16"/>
              </w:rPr>
              <w:t>xxx mg</w:t>
            </w:r>
          </w:p>
        </w:tc>
        <w:tc>
          <w:tcPr>
            <w:tcW w:type="dxa" w:w="1954"/>
          </w:tcPr>
          <w:p>
            <w:pPr>
              <w:spacing w:before="20" w:after="20" w:line="240" w:lineRule="exact"/>
              <w:jc w:val="center"/>
            </w:pPr>
            <w:r>
              <w:rPr>
                <w:rFonts w:ascii="Times New Roman" w:hAnsi="Times New Roman"/>
                <w:b w:val="0"/>
                <w:sz w:val="16"/>
              </w:rPr>
              <w:t>xxx mg</w:t>
            </w:r>
          </w:p>
        </w:tc>
        <w:tc>
          <w:tcPr>
            <w:tcW w:type="dxa" w:w="1954"/>
          </w:tcPr>
          <w:p>
            <w:pPr>
              <w:spacing w:before="20" w:after="20" w:line="240" w:lineRule="exact"/>
              <w:jc w:val="center"/>
            </w:pPr>
            <w:r>
              <w:rPr>
                <w:rFonts w:ascii="Times New Roman" w:hAnsi="Times New Roman"/>
                <w:b w:val="0"/>
                <w:sz w:val="16"/>
              </w:rPr>
              <w:t>Reason / None</w:t>
            </w:r>
          </w:p>
        </w:tc>
      </w:tr>
      <w:tr>
        <w:tc>
          <w:tcPr>
            <w:tcW w:type="dxa" w:w="1954"/>
          </w:tcPr>
          <w:p>
            <w:pPr>
              <w:spacing w:before="20" w:after="20" w:line="240" w:lineRule="exact"/>
              <w:jc w:val="left"/>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ADEX. Program: l_exposure.sas.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16.2.13  Listing of Medical History Verbatim vs. Coded Terms</w:t>
      </w:r>
      <w:r>
        <w:bookmarkStart w:id="0" w:name="L16.2.13"/>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SOC</w:t>
            </w:r>
          </w:p>
        </w:tc>
        <w:tc>
          <w:tcPr>
            <w:tcW w:type="dxa" w:w="1520"/>
            <w:shd w:fill="F2F2F2" w:val="clear"/>
            <w:tcBorders>
              <w:bottom w:val="single" w:sz="4" w:space="0" w:color="000000"/>
            </w:tcBorders>
          </w:tcPr>
          <w:p>
            <w:pPr>
              <w:jc w:val="center"/>
            </w:pPr>
            <w:r>
              <w:rPr>
                <w:rFonts w:ascii="Times New Roman" w:hAnsi="Times New Roman"/>
                <w:b/>
                <w:sz w:val="18"/>
              </w:rPr>
              <w:t>Preferred Term</w:t>
            </w:r>
          </w:p>
        </w:tc>
        <w:tc>
          <w:tcPr>
            <w:tcW w:type="dxa" w:w="1520"/>
            <w:shd w:fill="F2F2F2" w:val="clear"/>
            <w:tcBorders>
              <w:bottom w:val="single" w:sz="4" w:space="0" w:color="000000"/>
            </w:tcBorders>
          </w:tcPr>
          <w:p>
            <w:pPr>
              <w:jc w:val="center"/>
            </w:pPr>
            <w:r>
              <w:rPr>
                <w:rFonts w:ascii="Times New Roman" w:hAnsi="Times New Roman"/>
                <w:b/>
                <w:sz w:val="18"/>
              </w:rPr>
              <w:t>Verbatim Term</w:t>
            </w:r>
          </w:p>
        </w:tc>
        <w:tc>
          <w:tcPr>
            <w:tcW w:type="dxa" w:w="1520"/>
            <w:shd w:fill="F2F2F2" w:val="clear"/>
            <w:tcBorders>
              <w:bottom w:val="single" w:sz="4" w:space="0" w:color="000000"/>
            </w:tcBorders>
          </w:tcPr>
          <w:p>
            <w:pPr>
              <w:jc w:val="center"/>
            </w:pPr>
            <w:r>
              <w:rPr>
                <w:rFonts w:ascii="Times New Roman" w:hAnsi="Times New Roman"/>
                <w:b/>
                <w:sz w:val="18"/>
              </w:rPr>
              <w:t>Start Date/Year</w:t>
            </w:r>
          </w:p>
        </w:tc>
        <w:tc>
          <w:tcPr>
            <w:tcW w:type="dxa" w:w="1520"/>
            <w:shd w:fill="F2F2F2" w:val="clear"/>
            <w:tcBorders>
              <w:bottom w:val="single" w:sz="4" w:space="0" w:color="000000"/>
            </w:tcBorders>
          </w:tcPr>
          <w:p>
            <w:pPr>
              <w:jc w:val="center"/>
            </w:pPr>
            <w:r>
              <w:rPr>
                <w:rFonts w:ascii="Times New Roman" w:hAnsi="Times New Roman"/>
                <w:b/>
                <w:sz w:val="18"/>
              </w:rPr>
              <w:t>End Date/Year</w:t>
            </w:r>
          </w:p>
        </w:tc>
        <w:tc>
          <w:tcPr>
            <w:tcW w:type="dxa" w:w="1520"/>
            <w:shd w:fill="F2F2F2" w:val="clear"/>
            <w:tcBorders>
              <w:bottom w:val="single" w:sz="4" w:space="0" w:color="000000"/>
            </w:tcBorders>
          </w:tcPr>
          <w:p>
            <w:pPr>
              <w:jc w:val="center"/>
            </w:pPr>
            <w:r>
              <w:rPr>
                <w:rFonts w:ascii="Times New Roman" w:hAnsi="Times New Roman"/>
                <w:b/>
                <w:sz w:val="18"/>
              </w:rPr>
              <w:t>Ongoing?</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Vascular disorders</w:t>
            </w:r>
          </w:p>
        </w:tc>
        <w:tc>
          <w:tcPr>
            <w:tcW w:type="dxa" w:w="1520"/>
          </w:tcPr>
          <w:p>
            <w:pPr>
              <w:spacing w:before="20" w:after="20" w:line="240" w:lineRule="exact"/>
              <w:jc w:val="center"/>
            </w:pPr>
            <w:r>
              <w:rPr>
                <w:rFonts w:ascii="Times New Roman" w:hAnsi="Times New Roman"/>
                <w:b w:val="0"/>
                <w:sz w:val="16"/>
              </w:rPr>
              <w:t>Hypertension</w:t>
            </w:r>
          </w:p>
        </w:tc>
        <w:tc>
          <w:tcPr>
            <w:tcW w:type="dxa" w:w="1520"/>
          </w:tcPr>
          <w:p>
            <w:pPr>
              <w:spacing w:before="20" w:after="20" w:line="240" w:lineRule="exact"/>
              <w:jc w:val="center"/>
            </w:pPr>
            <w:r>
              <w:rPr>
                <w:rFonts w:ascii="Times New Roman" w:hAnsi="Times New Roman"/>
                <w:b w:val="0"/>
                <w:sz w:val="16"/>
              </w:rPr>
              <w:t>High Blood Pressure</w:t>
            </w:r>
          </w:p>
        </w:tc>
        <w:tc>
          <w:tcPr>
            <w:tcW w:type="dxa" w:w="1520"/>
          </w:tcPr>
          <w:p>
            <w:pPr>
              <w:spacing w:before="20" w:after="20" w:line="240" w:lineRule="exact"/>
              <w:jc w:val="center"/>
            </w:pPr>
            <w:r>
              <w:rPr>
                <w:rFonts w:ascii="Times New Roman" w:hAnsi="Times New Roman"/>
                <w:b w:val="0"/>
                <w:sz w:val="16"/>
              </w:rPr>
              <w:t>YYYY/DDMMMYYYY</w:t>
            </w:r>
          </w:p>
        </w:tc>
        <w:tc>
          <w:tcPr>
            <w:tcW w:type="dxa" w:w="1520"/>
          </w:tcPr>
          <w:p>
            <w:pPr>
              <w:spacing w:before="20" w:after="20" w:line="240" w:lineRule="exact"/>
              <w:jc w:val="center"/>
            </w:pPr>
            <w:r>
              <w:rPr>
                <w:rFonts w:ascii="Times New Roman" w:hAnsi="Times New Roman"/>
                <w:b w:val="0"/>
                <w:sz w:val="16"/>
              </w:rPr>
              <w:t>YYYY/DDMMMYYYY</w:t>
            </w:r>
          </w:p>
        </w:tc>
        <w:tc>
          <w:tcPr>
            <w:tcW w:type="dxa" w:w="1520"/>
          </w:tcPr>
          <w:p>
            <w:pPr>
              <w:spacing w:before="20" w:after="20" w:line="240" w:lineRule="exact"/>
              <w:jc w:val="center"/>
            </w:pPr>
            <w:r>
              <w:rPr>
                <w:rFonts w:ascii="Times New Roman" w:hAnsi="Times New Roman"/>
                <w:b w:val="0"/>
                <w:sz w:val="16"/>
              </w:rPr>
              <w:t>Y/N</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ADMH. Program: l_mh_coded.sas.</w:t>
      </w:r>
    </w:p>
    <w:p>
      <w:pPr>
        <w:spacing w:before="0" w:after="0"/>
      </w:pPr>
      <w:r>
        <w:rPr>
          <w:rFonts w:ascii="Times New Roman" w:hAnsi="Times New Roman"/>
          <w:i/>
          <w:sz w:val="16"/>
        </w:rPr>
        <w:t>[2] Coding: Adverse event terms were coded using MedDRA v[xx.x].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16.2.14  Listing of PK Concentrations by Subject and Timepoint</w:t>
      </w:r>
      <w:r>
        <w:bookmarkStart w:id="0" w:name="L16.2.14"/>
        <w:bookmarkEnd w:id="0"/>
      </w:r>
    </w:p>
    <w:p>
      <w:pPr>
        <w:keepNext/>
        <w:spacing w:before="40" w:after="160"/>
      </w:pPr>
      <w:r>
        <w:rPr>
          <w:rFonts w:ascii="Times New Roman" w:hAnsi="Times New Roman"/>
          <w:i/>
          <w:sz w:val="18"/>
        </w:rPr>
        <w:t>Analysis Set: PK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jc w:val="center"/>
            </w:pPr>
            <w:r>
              <w:rPr>
                <w:rFonts w:ascii="Times New Roman" w:hAnsi="Times New Roman"/>
                <w:b/>
                <w:sz w:val="18"/>
              </w:rPr>
              <w:t>Group</w:t>
            </w:r>
          </w:p>
        </w:tc>
        <w:tc>
          <w:tcPr>
            <w:tcW w:type="dxa" w:w="1710"/>
            <w:shd w:fill="F2F2F2" w:val="clear"/>
            <w:tcBorders>
              <w:bottom w:val="single" w:sz="4" w:space="0" w:color="000000"/>
            </w:tcBorders>
          </w:tcPr>
          <w:p>
            <w:pPr>
              <w:jc w:val="center"/>
            </w:pPr>
            <w:r>
              <w:rPr>
                <w:rFonts w:ascii="Times New Roman" w:hAnsi="Times New Roman"/>
                <w:b/>
                <w:sz w:val="18"/>
              </w:rPr>
              <w:t>Cycle/Day</w:t>
            </w:r>
          </w:p>
        </w:tc>
        <w:tc>
          <w:tcPr>
            <w:tcW w:type="dxa" w:w="1710"/>
            <w:shd w:fill="F2F2F2" w:val="clear"/>
            <w:tcBorders>
              <w:bottom w:val="single" w:sz="4" w:space="0" w:color="000000"/>
            </w:tcBorders>
          </w:tcPr>
          <w:p>
            <w:pPr>
              <w:spacing w:before="0" w:after="0"/>
              <w:jc w:val="center"/>
            </w:pPr>
            <w:r>
              <w:rPr>
                <w:rFonts w:ascii="Times New Roman" w:hAnsi="Times New Roman"/>
                <w:b/>
                <w:sz w:val="18"/>
              </w:rPr>
              <w:t>Nominal Time</w:t>
            </w:r>
          </w:p>
          <w:p>
            <w:pPr>
              <w:spacing w:before="0" w:after="0"/>
              <w:jc w:val="center"/>
            </w:pPr>
            <w:r>
              <w:rPr>
                <w:rFonts w:ascii="Times New Roman" w:hAnsi="Times New Roman"/>
                <w:b/>
                <w:sz w:val="18"/>
              </w:rPr>
              <w:t>(h)</w:t>
            </w:r>
          </w:p>
        </w:tc>
        <w:tc>
          <w:tcPr>
            <w:tcW w:type="dxa" w:w="1710"/>
            <w:shd w:fill="F2F2F2" w:val="clear"/>
            <w:tcBorders>
              <w:bottom w:val="single" w:sz="4" w:space="0" w:color="000000"/>
            </w:tcBorders>
          </w:tcPr>
          <w:p>
            <w:pPr>
              <w:spacing w:before="0" w:after="0"/>
              <w:jc w:val="center"/>
            </w:pPr>
            <w:r>
              <w:rPr>
                <w:rFonts w:ascii="Times New Roman" w:hAnsi="Times New Roman"/>
                <w:b/>
                <w:sz w:val="18"/>
              </w:rPr>
              <w:t>Actual Time</w:t>
            </w:r>
          </w:p>
          <w:p>
            <w:pPr>
              <w:spacing w:before="0" w:after="0"/>
              <w:jc w:val="center"/>
            </w:pPr>
            <w:r>
              <w:rPr>
                <w:rFonts w:ascii="Times New Roman" w:hAnsi="Times New Roman"/>
                <w:b/>
                <w:sz w:val="18"/>
              </w:rPr>
              <w:t>(h)</w:t>
            </w:r>
          </w:p>
        </w:tc>
        <w:tc>
          <w:tcPr>
            <w:tcW w:type="dxa" w:w="1710"/>
            <w:shd w:fill="F2F2F2" w:val="clear"/>
            <w:tcBorders>
              <w:bottom w:val="single" w:sz="4" w:space="0" w:color="000000"/>
            </w:tcBorders>
          </w:tcPr>
          <w:p>
            <w:pPr>
              <w:spacing w:before="0" w:after="0"/>
              <w:jc w:val="center"/>
            </w:pPr>
            <w:r>
              <w:rPr>
                <w:rFonts w:ascii="Times New Roman" w:hAnsi="Times New Roman"/>
                <w:b/>
                <w:sz w:val="18"/>
              </w:rPr>
              <w:t>Concentration</w:t>
            </w:r>
          </w:p>
          <w:p>
            <w:pPr>
              <w:spacing w:before="0" w:after="0"/>
              <w:jc w:val="center"/>
            </w:pPr>
            <w:r>
              <w:rPr>
                <w:rFonts w:ascii="Times New Roman" w:hAnsi="Times New Roman"/>
                <w:b/>
                <w:sz w:val="18"/>
              </w:rPr>
              <w:t>(ng/mL)</w:t>
            </w:r>
          </w:p>
        </w:tc>
        <w:tc>
          <w:tcPr>
            <w:tcW w:type="dxa" w:w="1710"/>
            <w:shd w:fill="F2F2F2" w:val="clear"/>
            <w:tcBorders>
              <w:bottom w:val="single" w:sz="4" w:space="0" w:color="000000"/>
            </w:tcBorders>
          </w:tcPr>
          <w:p>
            <w:pPr>
              <w:jc w:val="center"/>
            </w:pPr>
            <w:r>
              <w:rPr>
                <w:rFonts w:ascii="Times New Roman" w:hAnsi="Times New Roman"/>
                <w:b/>
                <w:sz w:val="18"/>
              </w:rPr>
              <w:t>BQL</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C1D1</w:t>
            </w:r>
          </w:p>
        </w:tc>
        <w:tc>
          <w:tcPr>
            <w:tcW w:type="dxa" w:w="1710"/>
          </w:tcPr>
          <w:p>
            <w:pPr>
              <w:spacing w:before="20" w:after="20" w:line="240" w:lineRule="exact"/>
              <w:jc w:val="center"/>
            </w:pPr>
            <w:r>
              <w:rPr>
                <w:rFonts w:ascii="Times New Roman" w:hAnsi="Times New Roman"/>
                <w:b w:val="0"/>
                <w:sz w:val="16"/>
              </w:rPr>
              <w:t>0</w:t>
            </w:r>
          </w:p>
        </w:tc>
        <w:tc>
          <w:tcPr>
            <w:tcW w:type="dxa" w:w="1710"/>
          </w:tcPr>
          <w:p>
            <w:pPr>
              <w:spacing w:before="20" w:after="20" w:line="240" w:lineRule="exact"/>
              <w:jc w:val="center"/>
            </w:pPr>
            <w:r>
              <w:rPr>
                <w:rFonts w:ascii="Times New Roman" w:hAnsi="Times New Roman"/>
                <w:b w:val="0"/>
                <w:sz w:val="16"/>
              </w:rPr>
              <w:t>0.00</w:t>
            </w:r>
          </w:p>
        </w:tc>
        <w:tc>
          <w:tcPr>
            <w:tcW w:type="dxa" w:w="1710"/>
          </w:tcPr>
          <w:p>
            <w:pPr>
              <w:spacing w:before="20" w:after="20" w:line="240" w:lineRule="exact"/>
              <w:jc w:val="center"/>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Y/N</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C1D1</w:t>
            </w:r>
          </w:p>
        </w:tc>
        <w:tc>
          <w:tcPr>
            <w:tcW w:type="dxa" w:w="1710"/>
          </w:tcPr>
          <w:p>
            <w:pPr>
              <w:spacing w:before="20" w:after="20" w:line="240" w:lineRule="exact"/>
              <w:jc w:val="center"/>
            </w:pPr>
            <w:r>
              <w:rPr>
                <w:rFonts w:ascii="Times New Roman" w:hAnsi="Times New Roman"/>
                <w:b w:val="0"/>
                <w:sz w:val="16"/>
              </w:rPr>
              <w:t>2</w:t>
            </w:r>
          </w:p>
        </w:tc>
        <w:tc>
          <w:tcPr>
            <w:tcW w:type="dxa" w:w="1710"/>
          </w:tcPr>
          <w:p>
            <w:pPr>
              <w:spacing w:before="20" w:after="20" w:line="240" w:lineRule="exact"/>
              <w:jc w:val="center"/>
            </w:pPr>
            <w:r>
              <w:rPr>
                <w:rFonts w:ascii="Times New Roman" w:hAnsi="Times New Roman"/>
                <w:b w:val="0"/>
                <w:sz w:val="16"/>
              </w:rPr>
              <w:t>2.05</w:t>
            </w:r>
          </w:p>
        </w:tc>
        <w:tc>
          <w:tcPr>
            <w:tcW w:type="dxa" w:w="1710"/>
          </w:tcPr>
          <w:p>
            <w:pPr>
              <w:spacing w:before="20" w:after="20" w:line="240" w:lineRule="exact"/>
              <w:jc w:val="center"/>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Y/N</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BQL = Below Quantification Limit (&lt;xx.x ng/mL).</w:t>
      </w:r>
    </w:p>
    <w:p>
      <w:pPr>
        <w:spacing w:before="0" w:after="0"/>
      </w:pPr>
      <w:r>
        <w:rPr>
          <w:rFonts w:ascii="Times New Roman" w:hAnsi="Times New Roman"/>
          <w:i/>
          <w:sz w:val="16"/>
        </w:rPr>
        <w:t>[2] Dataset: ADSL, ADPC. Program: l_pk_conc.sas.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16.2.15  Listing of PK Parameters by Subject</w:t>
      </w:r>
      <w:r>
        <w:bookmarkStart w:id="0" w:name="L16.2.15"/>
        <w:bookmarkEnd w:id="0"/>
      </w:r>
    </w:p>
    <w:p>
      <w:pPr>
        <w:keepNext/>
        <w:spacing w:before="40" w:after="160"/>
      </w:pPr>
      <w:r>
        <w:rPr>
          <w:rFonts w:ascii="Times New Roman" w:hAnsi="Times New Roman"/>
          <w:i/>
          <w:sz w:val="18"/>
        </w:rPr>
        <w:t>Analysis Set: PK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Cycle</w:t>
            </w:r>
          </w:p>
        </w:tc>
        <w:tc>
          <w:tcPr>
            <w:tcW w:type="dxa" w:w="1520"/>
            <w:shd w:fill="F2F2F2" w:val="clear"/>
            <w:tcBorders>
              <w:bottom w:val="single" w:sz="4" w:space="0" w:color="000000"/>
            </w:tcBorders>
          </w:tcPr>
          <w:p>
            <w:pPr>
              <w:spacing w:before="0" w:after="0"/>
              <w:jc w:val="center"/>
            </w:pPr>
            <w:r>
              <w:rPr>
                <w:rFonts w:ascii="Times New Roman" w:hAnsi="Times New Roman"/>
                <w:b/>
                <w:sz w:val="18"/>
              </w:rPr>
              <w:t>Cmax</w:t>
            </w:r>
          </w:p>
          <w:p>
            <w:pPr>
              <w:spacing w:before="0" w:after="0"/>
              <w:jc w:val="center"/>
            </w:pPr>
            <w:r>
              <w:rPr>
                <w:rFonts w:ascii="Times New Roman" w:hAnsi="Times New Roman"/>
                <w:b/>
                <w:sz w:val="18"/>
              </w:rPr>
              <w:t>(ng/mL)</w:t>
            </w:r>
          </w:p>
        </w:tc>
        <w:tc>
          <w:tcPr>
            <w:tcW w:type="dxa" w:w="1520"/>
            <w:shd w:fill="F2F2F2" w:val="clear"/>
            <w:tcBorders>
              <w:bottom w:val="single" w:sz="4" w:space="0" w:color="000000"/>
            </w:tcBorders>
          </w:tcPr>
          <w:p>
            <w:pPr>
              <w:spacing w:before="0" w:after="0"/>
              <w:jc w:val="center"/>
            </w:pPr>
            <w:r>
              <w:rPr>
                <w:rFonts w:ascii="Times New Roman" w:hAnsi="Times New Roman"/>
                <w:b/>
                <w:sz w:val="18"/>
              </w:rPr>
              <w:t>AUC0-tau</w:t>
            </w:r>
          </w:p>
          <w:p>
            <w:pPr>
              <w:spacing w:before="0" w:after="0"/>
              <w:jc w:val="center"/>
            </w:pPr>
            <w:r>
              <w:rPr>
                <w:rFonts w:ascii="Times New Roman" w:hAnsi="Times New Roman"/>
                <w:b/>
                <w:sz w:val="18"/>
              </w:rPr>
              <w:t>(ng·h/mL)</w:t>
            </w:r>
          </w:p>
        </w:tc>
        <w:tc>
          <w:tcPr>
            <w:tcW w:type="dxa" w:w="1520"/>
            <w:shd w:fill="F2F2F2" w:val="clear"/>
            <w:tcBorders>
              <w:bottom w:val="single" w:sz="4" w:space="0" w:color="000000"/>
            </w:tcBorders>
          </w:tcPr>
          <w:p>
            <w:pPr>
              <w:spacing w:before="0" w:after="0"/>
              <w:jc w:val="center"/>
            </w:pPr>
            <w:r>
              <w:rPr>
                <w:rFonts w:ascii="Times New Roman" w:hAnsi="Times New Roman"/>
                <w:b/>
                <w:sz w:val="18"/>
              </w:rPr>
              <w:t>Tmax</w:t>
            </w:r>
          </w:p>
          <w:p>
            <w:pPr>
              <w:spacing w:before="0" w:after="0"/>
              <w:jc w:val="center"/>
            </w:pPr>
            <w:r>
              <w:rPr>
                <w:rFonts w:ascii="Times New Roman" w:hAnsi="Times New Roman"/>
                <w:b/>
                <w:sz w:val="18"/>
              </w:rPr>
              <w:t>(h)</w:t>
            </w:r>
          </w:p>
        </w:tc>
        <w:tc>
          <w:tcPr>
            <w:tcW w:type="dxa" w:w="1520"/>
            <w:shd w:fill="F2F2F2" w:val="clear"/>
            <w:tcBorders>
              <w:bottom w:val="single" w:sz="4" w:space="0" w:color="000000"/>
            </w:tcBorders>
          </w:tcPr>
          <w:p>
            <w:pPr>
              <w:spacing w:before="0" w:after="0"/>
              <w:jc w:val="center"/>
            </w:pPr>
            <w:r>
              <w:rPr>
                <w:rFonts w:ascii="Times New Roman" w:hAnsi="Times New Roman"/>
                <w:b/>
                <w:sz w:val="18"/>
              </w:rPr>
              <w:t>t1/2</w:t>
            </w:r>
          </w:p>
          <w:p>
            <w:pPr>
              <w:spacing w:before="0" w:after="0"/>
              <w:jc w:val="center"/>
            </w:pPr>
            <w:r>
              <w:rPr>
                <w:rFonts w:ascii="Times New Roman" w:hAnsi="Times New Roman"/>
                <w:b/>
                <w:sz w:val="18"/>
              </w:rPr>
              <w:t>(h)</w:t>
            </w:r>
          </w:p>
        </w:tc>
        <w:tc>
          <w:tcPr>
            <w:tcW w:type="dxa" w:w="1520"/>
            <w:shd w:fill="F2F2F2" w:val="clear"/>
            <w:tcBorders>
              <w:bottom w:val="single" w:sz="4" w:space="0" w:color="000000"/>
            </w:tcBorders>
          </w:tcPr>
          <w:p>
            <w:pPr>
              <w:spacing w:before="0" w:after="0"/>
              <w:jc w:val="center"/>
            </w:pPr>
            <w:r>
              <w:rPr>
                <w:rFonts w:ascii="Times New Roman" w:hAnsi="Times New Roman"/>
                <w:b/>
                <w:sz w:val="18"/>
              </w:rPr>
              <w:t>CL/F</w:t>
            </w:r>
          </w:p>
          <w:p>
            <w:pPr>
              <w:spacing w:before="0" w:after="0"/>
              <w:jc w:val="center"/>
            </w:pPr>
            <w:r>
              <w:rPr>
                <w:rFonts w:ascii="Times New Roman" w:hAnsi="Times New Roman"/>
                <w:b/>
                <w:sz w:val="18"/>
              </w:rPr>
              <w:t>(L/h)</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C1</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w:t>
            </w:r>
          </w:p>
        </w:tc>
        <w:tc>
          <w:tcPr>
            <w:tcW w:type="dxa" w:w="1520"/>
          </w:tcPr>
          <w:p>
            <w:pPr>
              <w:spacing w:before="20" w:after="20" w:line="240" w:lineRule="exact"/>
              <w:jc w:val="center"/>
            </w:pPr>
            <w:r>
              <w:rPr>
                <w:rFonts w:ascii="Times New Roman" w:hAnsi="Times New Roman"/>
                <w:b w:val="0"/>
                <w:sz w:val="16"/>
              </w:rPr>
              <w:t>x.x</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ADPP. Program: l_pk_params.sas.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16.2.16  Listing of ADA and Neutralizing Antibody Results</w:t>
      </w:r>
      <w:r>
        <w:bookmarkStart w:id="0" w:name="L16.2.16"/>
        <w:bookmarkEnd w:id="0"/>
      </w:r>
    </w:p>
    <w:p>
      <w:pPr>
        <w:keepNext/>
        <w:spacing w:before="40" w:after="160"/>
      </w:pPr>
      <w:r>
        <w:rPr>
          <w:rFonts w:ascii="Times New Roman" w:hAnsi="Times New Roman"/>
          <w:i/>
          <w:sz w:val="18"/>
        </w:rPr>
        <w:t>Analysis Set: Safety Population with ADA Samples</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54"/>
        <w:gridCol w:w="1954"/>
        <w:gridCol w:w="1954"/>
        <w:gridCol w:w="1954"/>
        <w:gridCol w:w="1954"/>
        <w:gridCol w:w="1954"/>
        <w:gridCol w:w="1954"/>
      </w:tblGrid>
      <w:tr>
        <w:trPr>
          <w:tblHeader w:val="true"/>
        </w:trPr>
        <w:tc>
          <w:tcPr>
            <w:tcW w:type="dxa" w:w="1954"/>
            <w:shd w:fill="F2F2F2" w:val="clear"/>
            <w:tcBorders>
              <w:bottom w:val="single" w:sz="4" w:space="0" w:color="000000"/>
            </w:tcBorders>
          </w:tcPr>
          <w:p>
            <w:pPr>
              <w:jc w:val="left"/>
            </w:pPr>
            <w:r>
              <w:rPr>
                <w:rFonts w:ascii="Times New Roman" w:hAnsi="Times New Roman"/>
                <w:b/>
                <w:sz w:val="18"/>
              </w:rPr>
              <w:t>Site</w:t>
            </w:r>
          </w:p>
        </w:tc>
        <w:tc>
          <w:tcPr>
            <w:tcW w:type="dxa" w:w="1954"/>
            <w:shd w:fill="F2F2F2" w:val="clear"/>
            <w:tcBorders>
              <w:bottom w:val="single" w:sz="4" w:space="0" w:color="000000"/>
            </w:tcBorders>
          </w:tcPr>
          <w:p>
            <w:pPr>
              <w:jc w:val="center"/>
            </w:pPr>
            <w:r>
              <w:rPr>
                <w:rFonts w:ascii="Times New Roman" w:hAnsi="Times New Roman"/>
                <w:b/>
                <w:sz w:val="18"/>
              </w:rPr>
              <w:t>Subject</w:t>
            </w:r>
          </w:p>
        </w:tc>
        <w:tc>
          <w:tcPr>
            <w:tcW w:type="dxa" w:w="1954"/>
            <w:shd w:fill="F2F2F2" w:val="clear"/>
            <w:tcBorders>
              <w:bottom w:val="single" w:sz="4" w:space="0" w:color="000000"/>
            </w:tcBorders>
          </w:tcPr>
          <w:p>
            <w:pPr>
              <w:jc w:val="center"/>
            </w:pPr>
            <w:r>
              <w:rPr>
                <w:rFonts w:ascii="Times New Roman" w:hAnsi="Times New Roman"/>
                <w:b/>
                <w:sz w:val="18"/>
              </w:rPr>
              <w:t>Group</w:t>
            </w:r>
          </w:p>
        </w:tc>
        <w:tc>
          <w:tcPr>
            <w:tcW w:type="dxa" w:w="1954"/>
            <w:shd w:fill="F2F2F2" w:val="clear"/>
            <w:tcBorders>
              <w:bottom w:val="single" w:sz="4" w:space="0" w:color="000000"/>
            </w:tcBorders>
          </w:tcPr>
          <w:p>
            <w:pPr>
              <w:jc w:val="center"/>
            </w:pPr>
            <w:r>
              <w:rPr>
                <w:rFonts w:ascii="Times New Roman" w:hAnsi="Times New Roman"/>
                <w:b/>
                <w:sz w:val="18"/>
              </w:rPr>
              <w:t>Visit (Day)</w:t>
            </w:r>
          </w:p>
        </w:tc>
        <w:tc>
          <w:tcPr>
            <w:tcW w:type="dxa" w:w="1954"/>
            <w:shd w:fill="F2F2F2" w:val="clear"/>
            <w:tcBorders>
              <w:bottom w:val="single" w:sz="4" w:space="0" w:color="000000"/>
            </w:tcBorders>
          </w:tcPr>
          <w:p>
            <w:pPr>
              <w:jc w:val="center"/>
            </w:pPr>
            <w:r>
              <w:rPr>
                <w:rFonts w:ascii="Times New Roman" w:hAnsi="Times New Roman"/>
                <w:b/>
                <w:sz w:val="18"/>
              </w:rPr>
              <w:t>ADA Result</w:t>
            </w:r>
          </w:p>
        </w:tc>
        <w:tc>
          <w:tcPr>
            <w:tcW w:type="dxa" w:w="1954"/>
            <w:shd w:fill="F2F2F2" w:val="clear"/>
            <w:tcBorders>
              <w:bottom w:val="single" w:sz="4" w:space="0" w:color="000000"/>
            </w:tcBorders>
          </w:tcPr>
          <w:p>
            <w:pPr>
              <w:jc w:val="center"/>
            </w:pPr>
            <w:r>
              <w:rPr>
                <w:rFonts w:ascii="Times New Roman" w:hAnsi="Times New Roman"/>
                <w:b/>
                <w:sz w:val="18"/>
              </w:rPr>
              <w:t>ADA Titer</w:t>
            </w:r>
          </w:p>
        </w:tc>
        <w:tc>
          <w:tcPr>
            <w:tcW w:type="dxa" w:w="1954"/>
            <w:shd w:fill="F2F2F2" w:val="clear"/>
            <w:tcBorders>
              <w:bottom w:val="single" w:sz="4" w:space="0" w:color="000000"/>
            </w:tcBorders>
          </w:tcPr>
          <w:p>
            <w:pPr>
              <w:jc w:val="center"/>
            </w:pPr>
            <w:r>
              <w:rPr>
                <w:rFonts w:ascii="Times New Roman" w:hAnsi="Times New Roman"/>
                <w:b/>
                <w:sz w:val="18"/>
              </w:rPr>
              <w:t>Nab Result</w:t>
            </w:r>
          </w:p>
        </w:tc>
      </w:tr>
      <w:tr>
        <w:tc>
          <w:tcPr>
            <w:tcW w:type="dxa" w:w="1954"/>
          </w:tcPr>
          <w:p>
            <w:pPr>
              <w:spacing w:before="20" w:after="20" w:line="240" w:lineRule="exact"/>
              <w:jc w:val="left"/>
            </w:pPr>
            <w:r>
              <w:rPr>
                <w:rFonts w:ascii="Times New Roman" w:hAnsi="Times New Roman"/>
                <w:b w:val="0"/>
                <w:sz w:val="16"/>
              </w:rPr>
              <w:t>xxx</w:t>
            </w:r>
          </w:p>
        </w:tc>
        <w:tc>
          <w:tcPr>
            <w:tcW w:type="dxa" w:w="1954"/>
          </w:tcPr>
          <w:p>
            <w:pPr>
              <w:spacing w:before="20" w:after="20" w:line="240" w:lineRule="exact"/>
              <w:jc w:val="center"/>
            </w:pPr>
            <w:r>
              <w:rPr>
                <w:rFonts w:ascii="Times New Roman" w:hAnsi="Times New Roman"/>
                <w:b w:val="0"/>
                <w:sz w:val="16"/>
              </w:rPr>
              <w:t>xxxx/xxx</w:t>
            </w:r>
          </w:p>
        </w:tc>
        <w:tc>
          <w:tcPr>
            <w:tcW w:type="dxa" w:w="1954"/>
          </w:tcPr>
          <w:p>
            <w:pPr>
              <w:spacing w:before="20" w:after="20" w:line="240" w:lineRule="exact"/>
              <w:jc w:val="center"/>
            </w:pPr>
            <w:r>
              <w:rPr>
                <w:rFonts w:ascii="Times New Roman" w:hAnsi="Times New Roman"/>
                <w:b w:val="0"/>
                <w:sz w:val="16"/>
              </w:rPr>
              <w:t>Group</w:t>
            </w:r>
          </w:p>
        </w:tc>
        <w:tc>
          <w:tcPr>
            <w:tcW w:type="dxa" w:w="1954"/>
          </w:tcPr>
          <w:p>
            <w:pPr>
              <w:spacing w:before="20" w:after="20" w:line="240" w:lineRule="exact"/>
              <w:jc w:val="center"/>
            </w:pPr>
            <w:r>
              <w:rPr>
                <w:rFonts w:ascii="Times New Roman" w:hAnsi="Times New Roman"/>
                <w:b w:val="0"/>
                <w:sz w:val="16"/>
              </w:rPr>
              <w:t>Screening (Dxx)</w:t>
            </w:r>
          </w:p>
        </w:tc>
        <w:tc>
          <w:tcPr>
            <w:tcW w:type="dxa" w:w="1954"/>
          </w:tcPr>
          <w:p>
            <w:pPr>
              <w:spacing w:before="20" w:after="20" w:line="240" w:lineRule="exact"/>
              <w:jc w:val="center"/>
            </w:pPr>
            <w:r>
              <w:rPr>
                <w:rFonts w:ascii="Times New Roman" w:hAnsi="Times New Roman"/>
                <w:b w:val="0"/>
                <w:sz w:val="16"/>
              </w:rPr>
              <w:t>Neg/Pos</w:t>
            </w:r>
          </w:p>
        </w:tc>
        <w:tc>
          <w:tcPr>
            <w:tcW w:type="dxa" w:w="1954"/>
          </w:tcPr>
          <w:p>
            <w:pPr>
              <w:spacing w:before="20" w:after="20" w:line="240" w:lineRule="exact"/>
              <w:jc w:val="center"/>
            </w:pPr>
            <w:r>
              <w:rPr>
                <w:rFonts w:ascii="Times New Roman" w:hAnsi="Times New Roman"/>
                <w:b w:val="0"/>
                <w:sz w:val="16"/>
              </w:rPr>
              <w:t>&lt;LLOQ/1:xxx</w:t>
            </w:r>
          </w:p>
        </w:tc>
        <w:tc>
          <w:tcPr>
            <w:tcW w:type="dxa" w:w="1954"/>
          </w:tcPr>
          <w:p>
            <w:pPr>
              <w:spacing w:before="20" w:after="20" w:line="240" w:lineRule="exact"/>
              <w:jc w:val="center"/>
            </w:pPr>
            <w:r>
              <w:rPr>
                <w:rFonts w:ascii="Times New Roman" w:hAnsi="Times New Roman"/>
                <w:b w:val="0"/>
                <w:sz w:val="16"/>
              </w:rPr>
              <w:t>Neg/Pos</w:t>
            </w:r>
          </w:p>
        </w:tc>
      </w:tr>
      <w:tr>
        <w:tc>
          <w:tcPr>
            <w:tcW w:type="dxa" w:w="1954"/>
          </w:tcPr>
          <w:p>
            <w:pPr>
              <w:spacing w:before="20" w:after="20" w:line="240" w:lineRule="exact"/>
              <w:jc w:val="left"/>
            </w:pPr>
            <w:r>
              <w:rPr>
                <w:rFonts w:ascii="Times New Roman" w:hAnsi="Times New Roman"/>
                <w:b w:val="0"/>
                <w:sz w:val="16"/>
              </w:rPr>
              <w:t>xxx</w:t>
            </w:r>
          </w:p>
        </w:tc>
        <w:tc>
          <w:tcPr>
            <w:tcW w:type="dxa" w:w="1954"/>
          </w:tcPr>
          <w:p>
            <w:pPr>
              <w:spacing w:before="20" w:after="20" w:line="240" w:lineRule="exact"/>
              <w:jc w:val="center"/>
            </w:pPr>
            <w:r>
              <w:rPr>
                <w:rFonts w:ascii="Times New Roman" w:hAnsi="Times New Roman"/>
                <w:b w:val="0"/>
                <w:sz w:val="16"/>
              </w:rPr>
              <w:t>xxxx/xxx</w:t>
            </w:r>
          </w:p>
        </w:tc>
        <w:tc>
          <w:tcPr>
            <w:tcW w:type="dxa" w:w="1954"/>
          </w:tcPr>
          <w:p>
            <w:pPr>
              <w:spacing w:before="20" w:after="20" w:line="240" w:lineRule="exact"/>
              <w:jc w:val="center"/>
            </w:pPr>
            <w:r>
              <w:rPr>
                <w:rFonts w:ascii="Times New Roman" w:hAnsi="Times New Roman"/>
                <w:b w:val="0"/>
                <w:sz w:val="16"/>
              </w:rPr>
              <w:t>Group</w:t>
            </w:r>
          </w:p>
        </w:tc>
        <w:tc>
          <w:tcPr>
            <w:tcW w:type="dxa" w:w="1954"/>
          </w:tcPr>
          <w:p>
            <w:pPr>
              <w:spacing w:before="20" w:after="20" w:line="240" w:lineRule="exact"/>
              <w:jc w:val="center"/>
            </w:pPr>
            <w:r>
              <w:rPr>
                <w:rFonts w:ascii="Times New Roman" w:hAnsi="Times New Roman"/>
                <w:b w:val="0"/>
                <w:sz w:val="16"/>
              </w:rPr>
              <w:t>C3D1 (Dxx)</w:t>
            </w:r>
          </w:p>
        </w:tc>
        <w:tc>
          <w:tcPr>
            <w:tcW w:type="dxa" w:w="1954"/>
          </w:tcPr>
          <w:p>
            <w:pPr>
              <w:spacing w:before="20" w:after="20" w:line="240" w:lineRule="exact"/>
              <w:jc w:val="center"/>
            </w:pPr>
            <w:r>
              <w:rPr>
                <w:rFonts w:ascii="Times New Roman" w:hAnsi="Times New Roman"/>
                <w:b w:val="0"/>
                <w:sz w:val="16"/>
              </w:rPr>
              <w:t>Neg/Pos</w:t>
            </w:r>
          </w:p>
        </w:tc>
        <w:tc>
          <w:tcPr>
            <w:tcW w:type="dxa" w:w="1954"/>
          </w:tcPr>
          <w:p>
            <w:pPr>
              <w:spacing w:before="20" w:after="20" w:line="240" w:lineRule="exact"/>
              <w:jc w:val="center"/>
            </w:pPr>
            <w:r>
              <w:rPr>
                <w:rFonts w:ascii="Times New Roman" w:hAnsi="Times New Roman"/>
                <w:b w:val="0"/>
                <w:sz w:val="16"/>
              </w:rPr>
              <w:t>&lt;LLOQ/1:xxx</w:t>
            </w:r>
          </w:p>
        </w:tc>
        <w:tc>
          <w:tcPr>
            <w:tcW w:type="dxa" w:w="1954"/>
          </w:tcPr>
          <w:p>
            <w:pPr>
              <w:spacing w:before="20" w:after="20" w:line="240" w:lineRule="exact"/>
              <w:jc w:val="center"/>
            </w:pPr>
            <w:r>
              <w:rPr>
                <w:rFonts w:ascii="Times New Roman" w:hAnsi="Times New Roman"/>
                <w:b w:val="0"/>
                <w:sz w:val="16"/>
              </w:rPr>
              <w:t>Neg/Pos</w:t>
            </w:r>
          </w:p>
        </w:tc>
      </w:tr>
      <w:tr>
        <w:tc>
          <w:tcPr>
            <w:tcW w:type="dxa" w:w="1954"/>
          </w:tcPr>
          <w:p>
            <w:pPr>
              <w:spacing w:before="20" w:after="20" w:line="240" w:lineRule="exact"/>
              <w:jc w:val="left"/>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ADIS. Program: l_ada.sas.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16.2.17  Listing of Biomarker Results by Subject and Visit</w:t>
      </w:r>
      <w:r>
        <w:bookmarkStart w:id="0" w:name="L16.2.17"/>
        <w:bookmarkEnd w:id="0"/>
      </w:r>
    </w:p>
    <w:p>
      <w:pPr>
        <w:keepNext/>
        <w:spacing w:before="40" w:after="160"/>
      </w:pPr>
      <w:r>
        <w:rPr>
          <w:rFonts w:ascii="Times New Roman" w:hAnsi="Times New Roman"/>
          <w:i/>
          <w:sz w:val="18"/>
        </w:rPr>
        <w:t>Analysis Set: ITT with Biomarker Data</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jc w:val="center"/>
            </w:pPr>
            <w:r>
              <w:rPr>
                <w:rFonts w:ascii="Times New Roman" w:hAnsi="Times New Roman"/>
                <w:b/>
                <w:sz w:val="18"/>
              </w:rPr>
              <w:t>Group</w:t>
            </w:r>
          </w:p>
        </w:tc>
        <w:tc>
          <w:tcPr>
            <w:tcW w:type="dxa" w:w="1710"/>
            <w:shd w:fill="F2F2F2" w:val="clear"/>
            <w:tcBorders>
              <w:bottom w:val="single" w:sz="4" w:space="0" w:color="000000"/>
            </w:tcBorders>
          </w:tcPr>
          <w:p>
            <w:pPr>
              <w:jc w:val="center"/>
            </w:pPr>
            <w:r>
              <w:rPr>
                <w:rFonts w:ascii="Times New Roman" w:hAnsi="Times New Roman"/>
                <w:b/>
                <w:sz w:val="18"/>
              </w:rPr>
              <w:t>Visit</w:t>
            </w:r>
          </w:p>
        </w:tc>
        <w:tc>
          <w:tcPr>
            <w:tcW w:type="dxa" w:w="1710"/>
            <w:shd w:fill="F2F2F2" w:val="clear"/>
            <w:tcBorders>
              <w:bottom w:val="single" w:sz="4" w:space="0" w:color="000000"/>
            </w:tcBorders>
          </w:tcPr>
          <w:p>
            <w:pPr>
              <w:jc w:val="center"/>
            </w:pPr>
            <w:r>
              <w:rPr>
                <w:rFonts w:ascii="Times New Roman" w:hAnsi="Times New Roman"/>
                <w:b/>
                <w:sz w:val="18"/>
              </w:rPr>
              <w:t>Biomarker</w:t>
            </w:r>
          </w:p>
        </w:tc>
        <w:tc>
          <w:tcPr>
            <w:tcW w:type="dxa" w:w="1710"/>
            <w:shd w:fill="F2F2F2" w:val="clear"/>
            <w:tcBorders>
              <w:bottom w:val="single" w:sz="4" w:space="0" w:color="000000"/>
            </w:tcBorders>
          </w:tcPr>
          <w:p>
            <w:pPr>
              <w:jc w:val="center"/>
            </w:pPr>
            <w:r>
              <w:rPr>
                <w:rFonts w:ascii="Times New Roman" w:hAnsi="Times New Roman"/>
                <w:b/>
                <w:sz w:val="18"/>
              </w:rPr>
              <w:t>Result</w:t>
            </w:r>
          </w:p>
        </w:tc>
        <w:tc>
          <w:tcPr>
            <w:tcW w:type="dxa" w:w="1710"/>
            <w:shd w:fill="F2F2F2" w:val="clear"/>
            <w:tcBorders>
              <w:bottom w:val="single" w:sz="4" w:space="0" w:color="000000"/>
            </w:tcBorders>
          </w:tcPr>
          <w:p>
            <w:pPr>
              <w:jc w:val="center"/>
            </w:pPr>
            <w:r>
              <w:rPr>
                <w:rFonts w:ascii="Times New Roman" w:hAnsi="Times New Roman"/>
                <w:b/>
                <w:sz w:val="18"/>
              </w:rPr>
              <w:t>Unit</w:t>
            </w:r>
          </w:p>
        </w:tc>
        <w:tc>
          <w:tcPr>
            <w:tcW w:type="dxa" w:w="1710"/>
            <w:shd w:fill="F2F2F2" w:val="clear"/>
            <w:tcBorders>
              <w:bottom w:val="single" w:sz="4" w:space="0" w:color="000000"/>
            </w:tcBorders>
          </w:tcPr>
          <w:p>
            <w:pPr>
              <w:jc w:val="center"/>
            </w:pPr>
            <w:r>
              <w:rPr>
                <w:rFonts w:ascii="Times New Roman" w:hAnsi="Times New Roman"/>
                <w:b/>
                <w:sz w:val="18"/>
              </w:rPr>
              <w:t>Method</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Screening</w:t>
            </w:r>
          </w:p>
        </w:tc>
        <w:tc>
          <w:tcPr>
            <w:tcW w:type="dxa" w:w="1710"/>
          </w:tcPr>
          <w:p>
            <w:pPr>
              <w:spacing w:before="20" w:after="20" w:line="240" w:lineRule="exact"/>
              <w:jc w:val="center"/>
            </w:pPr>
            <w:r>
              <w:rPr>
                <w:rFonts w:ascii="Times New Roman" w:hAnsi="Times New Roman"/>
                <w:b w:val="0"/>
                <w:sz w:val="16"/>
              </w:rPr>
              <w:t>ctDNA / PD-L1 / etc.</w:t>
            </w:r>
          </w:p>
        </w:tc>
        <w:tc>
          <w:tcPr>
            <w:tcW w:type="dxa" w:w="1710"/>
          </w:tcPr>
          <w:p>
            <w:pPr>
              <w:spacing w:before="20" w:after="20" w:line="240" w:lineRule="exact"/>
              <w:jc w:val="center"/>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ng/mL / % / etc.</w:t>
            </w:r>
          </w:p>
        </w:tc>
        <w:tc>
          <w:tcPr>
            <w:tcW w:type="dxa" w:w="1710"/>
          </w:tcPr>
          <w:p>
            <w:pPr>
              <w:spacing w:before="20" w:after="20" w:line="240" w:lineRule="exact"/>
              <w:jc w:val="center"/>
            </w:pPr>
            <w:r>
              <w:rPr>
                <w:rFonts w:ascii="Times New Roman" w:hAnsi="Times New Roman"/>
                <w:b w:val="0"/>
                <w:sz w:val="16"/>
              </w:rPr>
              <w:t>NGS / IHC / ddPCR</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ADBM. Program: l_biomarker.sas.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16.2.18  Listing of PRO Assessments by Subject and Visit</w:t>
      </w:r>
      <w:r>
        <w:bookmarkStart w:id="0" w:name="L16.2.18"/>
        <w:bookmarkEnd w:id="0"/>
      </w:r>
    </w:p>
    <w:p>
      <w:pPr>
        <w:keepNext/>
        <w:spacing w:before="40" w:after="160"/>
      </w:pPr>
      <w:r>
        <w:rPr>
          <w:rFonts w:ascii="Times New Roman" w:hAnsi="Times New Roman"/>
          <w:i/>
          <w:sz w:val="18"/>
        </w:rPr>
        <w:t>Analysis Set: ITT with PRO Data</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368"/>
        <w:gridCol w:w="1368"/>
        <w:gridCol w:w="1368"/>
        <w:gridCol w:w="1368"/>
        <w:gridCol w:w="1368"/>
        <w:gridCol w:w="1368"/>
        <w:gridCol w:w="1368"/>
        <w:gridCol w:w="1368"/>
        <w:gridCol w:w="1368"/>
        <w:gridCol w:w="1368"/>
      </w:tblGrid>
      <w:tr>
        <w:trPr>
          <w:tblHeader w:val="true"/>
        </w:trPr>
        <w:tc>
          <w:tcPr>
            <w:tcW w:type="dxa" w:w="1368"/>
            <w:shd w:fill="F2F2F2" w:val="clear"/>
            <w:tcBorders>
              <w:bottom w:val="single" w:sz="4" w:space="0" w:color="000000"/>
            </w:tcBorders>
          </w:tcPr>
          <w:p>
            <w:pPr>
              <w:jc w:val="left"/>
            </w:pPr>
            <w:r>
              <w:rPr>
                <w:rFonts w:ascii="Times New Roman" w:hAnsi="Times New Roman"/>
                <w:b/>
                <w:sz w:val="18"/>
              </w:rPr>
              <w:t>Site</w:t>
            </w:r>
          </w:p>
        </w:tc>
        <w:tc>
          <w:tcPr>
            <w:tcW w:type="dxa" w:w="1368"/>
            <w:shd w:fill="F2F2F2" w:val="clear"/>
            <w:tcBorders>
              <w:bottom w:val="single" w:sz="4" w:space="0" w:color="000000"/>
            </w:tcBorders>
          </w:tcPr>
          <w:p>
            <w:pPr>
              <w:jc w:val="center"/>
            </w:pPr>
            <w:r>
              <w:rPr>
                <w:rFonts w:ascii="Times New Roman" w:hAnsi="Times New Roman"/>
                <w:b/>
                <w:sz w:val="18"/>
              </w:rPr>
              <w:t>Subject</w:t>
            </w:r>
          </w:p>
        </w:tc>
        <w:tc>
          <w:tcPr>
            <w:tcW w:type="dxa" w:w="1368"/>
            <w:shd w:fill="F2F2F2" w:val="clear"/>
            <w:tcBorders>
              <w:bottom w:val="single" w:sz="4" w:space="0" w:color="000000"/>
            </w:tcBorders>
          </w:tcPr>
          <w:p>
            <w:pPr>
              <w:jc w:val="center"/>
            </w:pPr>
            <w:r>
              <w:rPr>
                <w:rFonts w:ascii="Times New Roman" w:hAnsi="Times New Roman"/>
                <w:b/>
                <w:sz w:val="18"/>
              </w:rPr>
              <w:t>Group</w:t>
            </w:r>
          </w:p>
        </w:tc>
        <w:tc>
          <w:tcPr>
            <w:tcW w:type="dxa" w:w="1368"/>
            <w:shd w:fill="F2F2F2" w:val="clear"/>
            <w:tcBorders>
              <w:bottom w:val="single" w:sz="4" w:space="0" w:color="000000"/>
            </w:tcBorders>
          </w:tcPr>
          <w:p>
            <w:pPr>
              <w:jc w:val="center"/>
            </w:pPr>
            <w:r>
              <w:rPr>
                <w:rFonts w:ascii="Times New Roman" w:hAnsi="Times New Roman"/>
                <w:b/>
                <w:sz w:val="18"/>
              </w:rPr>
              <w:t>Visit</w:t>
            </w:r>
          </w:p>
        </w:tc>
        <w:tc>
          <w:tcPr>
            <w:tcW w:type="dxa" w:w="1368"/>
            <w:shd w:fill="F2F2F2" w:val="clear"/>
            <w:tcBorders>
              <w:bottom w:val="single" w:sz="4" w:space="0" w:color="000000"/>
            </w:tcBorders>
          </w:tcPr>
          <w:p>
            <w:pPr>
              <w:jc w:val="center"/>
            </w:pPr>
            <w:r>
              <w:rPr>
                <w:rFonts w:ascii="Times New Roman" w:hAnsi="Times New Roman"/>
                <w:b/>
                <w:sz w:val="18"/>
              </w:rPr>
              <w:t>GHS</w:t>
            </w:r>
          </w:p>
        </w:tc>
        <w:tc>
          <w:tcPr>
            <w:tcW w:type="dxa" w:w="1368"/>
            <w:shd w:fill="F2F2F2" w:val="clear"/>
            <w:tcBorders>
              <w:bottom w:val="single" w:sz="4" w:space="0" w:color="000000"/>
            </w:tcBorders>
          </w:tcPr>
          <w:p>
            <w:pPr>
              <w:jc w:val="center"/>
            </w:pPr>
            <w:r>
              <w:rPr>
                <w:rFonts w:ascii="Times New Roman" w:hAnsi="Times New Roman"/>
                <w:b/>
                <w:sz w:val="18"/>
              </w:rPr>
              <w:t>PF</w:t>
            </w:r>
          </w:p>
        </w:tc>
        <w:tc>
          <w:tcPr>
            <w:tcW w:type="dxa" w:w="1368"/>
            <w:shd w:fill="F2F2F2" w:val="clear"/>
            <w:tcBorders>
              <w:bottom w:val="single" w:sz="4" w:space="0" w:color="000000"/>
            </w:tcBorders>
          </w:tcPr>
          <w:p>
            <w:pPr>
              <w:jc w:val="center"/>
            </w:pPr>
            <w:r>
              <w:rPr>
                <w:rFonts w:ascii="Times New Roman" w:hAnsi="Times New Roman"/>
                <w:b/>
                <w:sz w:val="18"/>
              </w:rPr>
              <w:t>RF</w:t>
            </w:r>
          </w:p>
        </w:tc>
        <w:tc>
          <w:tcPr>
            <w:tcW w:type="dxa" w:w="1368"/>
            <w:shd w:fill="F2F2F2" w:val="clear"/>
            <w:tcBorders>
              <w:bottom w:val="single" w:sz="4" w:space="0" w:color="000000"/>
            </w:tcBorders>
          </w:tcPr>
          <w:p>
            <w:pPr>
              <w:jc w:val="center"/>
            </w:pPr>
            <w:r>
              <w:rPr>
                <w:rFonts w:ascii="Times New Roman" w:hAnsi="Times New Roman"/>
                <w:b/>
                <w:sz w:val="18"/>
              </w:rPr>
              <w:t>EF</w:t>
            </w:r>
          </w:p>
        </w:tc>
        <w:tc>
          <w:tcPr>
            <w:tcW w:type="dxa" w:w="1368"/>
            <w:shd w:fill="F2F2F2" w:val="clear"/>
            <w:tcBorders>
              <w:bottom w:val="single" w:sz="4" w:space="0" w:color="000000"/>
            </w:tcBorders>
          </w:tcPr>
          <w:p>
            <w:pPr>
              <w:jc w:val="center"/>
            </w:pPr>
            <w:r>
              <w:rPr>
                <w:rFonts w:ascii="Times New Roman" w:hAnsi="Times New Roman"/>
                <w:b/>
                <w:sz w:val="18"/>
              </w:rPr>
              <w:t>CF</w:t>
            </w:r>
          </w:p>
        </w:tc>
        <w:tc>
          <w:tcPr>
            <w:tcW w:type="dxa" w:w="1368"/>
            <w:shd w:fill="F2F2F2" w:val="clear"/>
            <w:tcBorders>
              <w:bottom w:val="single" w:sz="4" w:space="0" w:color="000000"/>
            </w:tcBorders>
          </w:tcPr>
          <w:p>
            <w:pPr>
              <w:jc w:val="center"/>
            </w:pPr>
            <w:r>
              <w:rPr>
                <w:rFonts w:ascii="Times New Roman" w:hAnsi="Times New Roman"/>
                <w:b/>
                <w:sz w:val="18"/>
              </w:rPr>
              <w:t>SF</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Screening</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Wk 12</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w:t>
            </w:r>
          </w:p>
        </w:tc>
      </w:tr>
      <w:tr>
        <w:tc>
          <w:tcPr>
            <w:tcW w:type="dxa" w:w="1368"/>
          </w:tcPr>
          <w:p>
            <w:pPr>
              <w:spacing w:before="20" w:after="20" w:line="240" w:lineRule="exact"/>
              <w:jc w:val="left"/>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ADPRO. Program: l_pro.sas.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16.2.19  Listing of Subsequent Anti-Cancer Therapies</w:t>
      </w:r>
      <w:r>
        <w:bookmarkStart w:id="0" w:name="L16.2.19"/>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ITT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jc w:val="center"/>
            </w:pPr>
            <w:r>
              <w:rPr>
                <w:rFonts w:ascii="Times New Roman" w:hAnsi="Times New Roman"/>
                <w:b/>
                <w:sz w:val="18"/>
              </w:rPr>
              <w:t>Group</w:t>
            </w:r>
          </w:p>
        </w:tc>
        <w:tc>
          <w:tcPr>
            <w:tcW w:type="dxa" w:w="1710"/>
            <w:shd w:fill="F2F2F2" w:val="clear"/>
            <w:tcBorders>
              <w:bottom w:val="single" w:sz="4" w:space="0" w:color="000000"/>
            </w:tcBorders>
          </w:tcPr>
          <w:p>
            <w:pPr>
              <w:jc w:val="center"/>
            </w:pPr>
            <w:r>
              <w:rPr>
                <w:rFonts w:ascii="Times New Roman" w:hAnsi="Times New Roman"/>
                <w:b/>
                <w:sz w:val="18"/>
              </w:rPr>
              <w:t>Therapy Name</w:t>
            </w:r>
          </w:p>
        </w:tc>
        <w:tc>
          <w:tcPr>
            <w:tcW w:type="dxa" w:w="1710"/>
            <w:shd w:fill="F2F2F2" w:val="clear"/>
            <w:tcBorders>
              <w:bottom w:val="single" w:sz="4" w:space="0" w:color="000000"/>
            </w:tcBorders>
          </w:tcPr>
          <w:p>
            <w:pPr>
              <w:jc w:val="center"/>
            </w:pPr>
            <w:r>
              <w:rPr>
                <w:rFonts w:ascii="Times New Roman" w:hAnsi="Times New Roman"/>
                <w:b/>
                <w:sz w:val="18"/>
              </w:rPr>
              <w:t>Therapy Class</w:t>
            </w:r>
          </w:p>
        </w:tc>
        <w:tc>
          <w:tcPr>
            <w:tcW w:type="dxa" w:w="1710"/>
            <w:shd w:fill="F2F2F2" w:val="clear"/>
            <w:tcBorders>
              <w:bottom w:val="single" w:sz="4" w:space="0" w:color="000000"/>
            </w:tcBorders>
          </w:tcPr>
          <w:p>
            <w:pPr>
              <w:jc w:val="center"/>
            </w:pPr>
            <w:r>
              <w:rPr>
                <w:rFonts w:ascii="Times New Roman" w:hAnsi="Times New Roman"/>
                <w:b/>
                <w:sz w:val="18"/>
              </w:rPr>
              <w:t>Start Date</w:t>
            </w:r>
          </w:p>
        </w:tc>
        <w:tc>
          <w:tcPr>
            <w:tcW w:type="dxa" w:w="1710"/>
            <w:shd w:fill="F2F2F2" w:val="clear"/>
            <w:tcBorders>
              <w:bottom w:val="single" w:sz="4" w:space="0" w:color="000000"/>
            </w:tcBorders>
          </w:tcPr>
          <w:p>
            <w:pPr>
              <w:jc w:val="center"/>
            </w:pPr>
            <w:r>
              <w:rPr>
                <w:rFonts w:ascii="Times New Roman" w:hAnsi="Times New Roman"/>
                <w:b/>
                <w:sz w:val="18"/>
              </w:rPr>
              <w:t>End Date</w:t>
            </w:r>
          </w:p>
        </w:tc>
        <w:tc>
          <w:tcPr>
            <w:tcW w:type="dxa" w:w="1710"/>
            <w:shd w:fill="F2F2F2" w:val="clear"/>
            <w:tcBorders>
              <w:bottom w:val="single" w:sz="4" w:space="0" w:color="000000"/>
            </w:tcBorders>
          </w:tcPr>
          <w:p>
            <w:pPr>
              <w:jc w:val="center"/>
            </w:pPr>
            <w:r>
              <w:rPr>
                <w:rFonts w:ascii="Times New Roman" w:hAnsi="Times New Roman"/>
                <w:b/>
                <w:sz w:val="18"/>
              </w:rPr>
              <w:t>Best Response to Subsequent Therapy</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Drug Name</w:t>
            </w:r>
          </w:p>
        </w:tc>
        <w:tc>
          <w:tcPr>
            <w:tcW w:type="dxa" w:w="1710"/>
          </w:tcPr>
          <w:p>
            <w:pPr>
              <w:spacing w:before="20" w:after="20" w:line="240" w:lineRule="exact"/>
              <w:jc w:val="center"/>
            </w:pPr>
            <w:r>
              <w:rPr>
                <w:rFonts w:ascii="Times New Roman" w:hAnsi="Times New Roman"/>
                <w:b w:val="0"/>
                <w:sz w:val="16"/>
              </w:rPr>
              <w:t>Chemotherapy/Immunotherapy/Targeted</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DDMMMYYYY/ongoing</w:t>
            </w:r>
          </w:p>
        </w:tc>
        <w:tc>
          <w:tcPr>
            <w:tcW w:type="dxa" w:w="1710"/>
          </w:tcPr>
          <w:p>
            <w:pPr>
              <w:spacing w:before="20" w:after="20" w:line="240" w:lineRule="exact"/>
              <w:jc w:val="center"/>
            </w:pPr>
            <w:r>
              <w:rPr>
                <w:rFonts w:ascii="Times New Roman" w:hAnsi="Times New Roman"/>
                <w:b w:val="0"/>
                <w:sz w:val="16"/>
              </w:rPr>
              <w:t>CR/PR/SD/PD/NE</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ADCM. Program: l_subsequent_therapy.sas.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16.2.20  Listing of Deaths — All Subjects</w:t>
      </w:r>
      <w:r>
        <w:bookmarkStart w:id="0" w:name="L16.2.20"/>
        <w:bookmarkEnd w:id="0"/>
      </w:r>
    </w:p>
    <w:p>
      <w:pPr>
        <w:keepNext/>
        <w:spacing w:before="40" w:after="160"/>
      </w:pPr>
      <w:r>
        <w:rPr>
          <w:rFonts w:ascii="Times New Roman" w:hAnsi="Times New Roman"/>
          <w:i/>
          <w:sz w:val="18"/>
        </w:rPr>
        <w:t>Analysis Set: All Randomized Subjects</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Date of Death</w:t>
            </w:r>
          </w:p>
        </w:tc>
        <w:tc>
          <w:tcPr>
            <w:tcW w:type="dxa" w:w="1520"/>
            <w:shd w:fill="F2F2F2" w:val="clear"/>
            <w:tcBorders>
              <w:bottom w:val="single" w:sz="4" w:space="0" w:color="000000"/>
            </w:tcBorders>
          </w:tcPr>
          <w:p>
            <w:pPr>
              <w:jc w:val="center"/>
            </w:pPr>
            <w:r>
              <w:rPr>
                <w:rFonts w:ascii="Times New Roman" w:hAnsi="Times New Roman"/>
                <w:b/>
                <w:sz w:val="18"/>
              </w:rPr>
              <w:t>Days from First Dose</w:t>
            </w:r>
          </w:p>
        </w:tc>
        <w:tc>
          <w:tcPr>
            <w:tcW w:type="dxa" w:w="1520"/>
            <w:shd w:fill="F2F2F2" w:val="clear"/>
            <w:tcBorders>
              <w:bottom w:val="single" w:sz="4" w:space="0" w:color="000000"/>
            </w:tcBorders>
          </w:tcPr>
          <w:p>
            <w:pPr>
              <w:jc w:val="center"/>
            </w:pPr>
            <w:r>
              <w:rPr>
                <w:rFonts w:ascii="Times New Roman" w:hAnsi="Times New Roman"/>
                <w:b/>
                <w:sz w:val="18"/>
              </w:rPr>
              <w:t>Days from Last Dose</w:t>
            </w:r>
          </w:p>
        </w:tc>
        <w:tc>
          <w:tcPr>
            <w:tcW w:type="dxa" w:w="1520"/>
            <w:shd w:fill="F2F2F2" w:val="clear"/>
            <w:tcBorders>
              <w:bottom w:val="single" w:sz="4" w:space="0" w:color="000000"/>
            </w:tcBorders>
          </w:tcPr>
          <w:p>
            <w:pPr>
              <w:jc w:val="center"/>
            </w:pPr>
            <w:r>
              <w:rPr>
                <w:rFonts w:ascii="Times New Roman" w:hAnsi="Times New Roman"/>
                <w:b/>
                <w:sz w:val="18"/>
              </w:rPr>
              <w:t>Primary Cause of Death</w:t>
            </w:r>
          </w:p>
        </w:tc>
        <w:tc>
          <w:tcPr>
            <w:tcW w:type="dxa" w:w="1520"/>
            <w:shd w:fill="F2F2F2" w:val="clear"/>
            <w:tcBorders>
              <w:bottom w:val="single" w:sz="4" w:space="0" w:color="000000"/>
            </w:tcBorders>
          </w:tcPr>
          <w:p>
            <w:pPr>
              <w:jc w:val="center"/>
            </w:pPr>
            <w:r>
              <w:rPr>
                <w:rFonts w:ascii="Times New Roman" w:hAnsi="Times New Roman"/>
                <w:b/>
                <w:sz w:val="18"/>
              </w:rPr>
              <w:t>AE-Related?</w:t>
            </w:r>
          </w:p>
        </w:tc>
        <w:tc>
          <w:tcPr>
            <w:tcW w:type="dxa" w:w="1520"/>
            <w:shd w:fill="F2F2F2" w:val="clear"/>
            <w:tcBorders>
              <w:bottom w:val="single" w:sz="4" w:space="0" w:color="000000"/>
            </w:tcBorders>
          </w:tcPr>
          <w:p>
            <w:pPr>
              <w:jc w:val="center"/>
            </w:pPr>
            <w:r>
              <w:rPr>
                <w:rFonts w:ascii="Times New Roman" w:hAnsi="Times New Roman"/>
                <w:b/>
                <w:sz w:val="18"/>
              </w:rPr>
              <w:t>Narrative ID</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xx</w:t>
            </w:r>
          </w:p>
        </w:tc>
        <w:tc>
          <w:tcPr>
            <w:tcW w:type="dxa" w:w="1520"/>
          </w:tcPr>
          <w:p>
            <w:pPr>
              <w:spacing w:before="20" w:after="20" w:line="240" w:lineRule="exact"/>
              <w:jc w:val="center"/>
            </w:pPr>
            <w:r>
              <w:rPr>
                <w:rFonts w:ascii="Times New Roman" w:hAnsi="Times New Roman"/>
                <w:b w:val="0"/>
                <w:sz w:val="16"/>
              </w:rPr>
              <w:t>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Y/N</w:t>
            </w:r>
          </w:p>
        </w:tc>
        <w:tc>
          <w:tcPr>
            <w:tcW w:type="dxa" w:w="1520"/>
          </w:tcPr>
          <w:p>
            <w:pPr>
              <w:spacing w:before="20" w:after="20" w:line="240" w:lineRule="exact"/>
              <w:jc w:val="center"/>
            </w:pPr>
            <w:r>
              <w:rPr>
                <w:rFonts w:ascii="Times New Roman" w:hAnsi="Times New Roman"/>
                <w:b w:val="0"/>
                <w:sz w:val="16"/>
              </w:rPr>
              <w:t>NAR-xxxx</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ADAE, ADTTE. Program: l_deaths.sas.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16.2.21  Listing of Prior and Subsequent Anti-Cancer Surgery/Radiotherapy</w:t>
      </w:r>
      <w:r>
        <w:bookmarkStart w:id="0" w:name="L16.2.21"/>
        <w:bookmarkEnd w:id="0"/>
      </w:r>
    </w:p>
    <w:p>
      <w:pPr>
        <w:keepNext/>
        <w:spacing w:before="0" w:after="40"/>
      </w:pPr>
      <w:r>
        <w:rPr>
          <w:rFonts w:ascii="Times New Roman" w:hAnsi="Times New Roman"/>
          <w:b/>
          <w:sz w:val="16"/>
        </w:rPr>
        <w:t>[ONCOLOGY ONLY]</w:t>
      </w:r>
    </w:p>
    <w:p>
      <w:pPr>
        <w:keepNext/>
        <w:spacing w:before="40" w:after="160"/>
      </w:pPr>
      <w:r>
        <w:rPr>
          <w:rFonts w:ascii="Times New Roman" w:hAnsi="Times New Roman"/>
          <w:i/>
          <w:sz w:val="18"/>
        </w:rPr>
        <w:t>Analysis Set: Full Analysis Set</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54"/>
        <w:gridCol w:w="1954"/>
        <w:gridCol w:w="1954"/>
        <w:gridCol w:w="1954"/>
        <w:gridCol w:w="1954"/>
        <w:gridCol w:w="1954"/>
        <w:gridCol w:w="1954"/>
      </w:tblGrid>
      <w:tr>
        <w:trPr>
          <w:tblHeader w:val="true"/>
        </w:trPr>
        <w:tc>
          <w:tcPr>
            <w:tcW w:type="dxa" w:w="1954"/>
            <w:shd w:fill="F2F2F2" w:val="clear"/>
            <w:tcBorders>
              <w:bottom w:val="single" w:sz="4" w:space="0" w:color="000000"/>
            </w:tcBorders>
          </w:tcPr>
          <w:p>
            <w:pPr>
              <w:jc w:val="left"/>
            </w:pPr>
            <w:r>
              <w:rPr>
                <w:rFonts w:ascii="Times New Roman" w:hAnsi="Times New Roman"/>
                <w:b/>
                <w:sz w:val="18"/>
              </w:rPr>
              <w:t>Site</w:t>
            </w:r>
          </w:p>
        </w:tc>
        <w:tc>
          <w:tcPr>
            <w:tcW w:type="dxa" w:w="1954"/>
            <w:shd w:fill="F2F2F2" w:val="clear"/>
            <w:tcBorders>
              <w:bottom w:val="single" w:sz="4" w:space="0" w:color="000000"/>
            </w:tcBorders>
          </w:tcPr>
          <w:p>
            <w:pPr>
              <w:jc w:val="center"/>
            </w:pPr>
            <w:r>
              <w:rPr>
                <w:rFonts w:ascii="Times New Roman" w:hAnsi="Times New Roman"/>
                <w:b/>
                <w:sz w:val="18"/>
              </w:rPr>
              <w:t>Subject</w:t>
            </w:r>
          </w:p>
        </w:tc>
        <w:tc>
          <w:tcPr>
            <w:tcW w:type="dxa" w:w="1954"/>
            <w:shd w:fill="F2F2F2" w:val="clear"/>
            <w:tcBorders>
              <w:bottom w:val="single" w:sz="4" w:space="0" w:color="000000"/>
            </w:tcBorders>
          </w:tcPr>
          <w:p>
            <w:pPr>
              <w:jc w:val="center"/>
            </w:pPr>
            <w:r>
              <w:rPr>
                <w:rFonts w:ascii="Times New Roman" w:hAnsi="Times New Roman"/>
                <w:b/>
                <w:sz w:val="18"/>
              </w:rPr>
              <w:t>Group</w:t>
            </w:r>
          </w:p>
        </w:tc>
        <w:tc>
          <w:tcPr>
            <w:tcW w:type="dxa" w:w="1954"/>
            <w:shd w:fill="F2F2F2" w:val="clear"/>
            <w:tcBorders>
              <w:bottom w:val="single" w:sz="4" w:space="0" w:color="000000"/>
            </w:tcBorders>
          </w:tcPr>
          <w:p>
            <w:pPr>
              <w:jc w:val="center"/>
            </w:pPr>
            <w:r>
              <w:rPr>
                <w:rFonts w:ascii="Times New Roman" w:hAnsi="Times New Roman"/>
                <w:b/>
                <w:sz w:val="18"/>
              </w:rPr>
              <w:t>Procedure</w:t>
            </w:r>
          </w:p>
        </w:tc>
        <w:tc>
          <w:tcPr>
            <w:tcW w:type="dxa" w:w="1954"/>
            <w:shd w:fill="F2F2F2" w:val="clear"/>
            <w:tcBorders>
              <w:bottom w:val="single" w:sz="4" w:space="0" w:color="000000"/>
            </w:tcBorders>
          </w:tcPr>
          <w:p>
            <w:pPr>
              <w:jc w:val="center"/>
            </w:pPr>
            <w:r>
              <w:rPr>
                <w:rFonts w:ascii="Times New Roman" w:hAnsi="Times New Roman"/>
                <w:b/>
                <w:sz w:val="18"/>
              </w:rPr>
              <w:t>Target Location</w:t>
            </w:r>
          </w:p>
        </w:tc>
        <w:tc>
          <w:tcPr>
            <w:tcW w:type="dxa" w:w="1954"/>
            <w:shd w:fill="F2F2F2" w:val="clear"/>
            <w:tcBorders>
              <w:bottom w:val="single" w:sz="4" w:space="0" w:color="000000"/>
            </w:tcBorders>
          </w:tcPr>
          <w:p>
            <w:pPr>
              <w:jc w:val="center"/>
            </w:pPr>
            <w:r>
              <w:rPr>
                <w:rFonts w:ascii="Times New Roman" w:hAnsi="Times New Roman"/>
                <w:b/>
                <w:sz w:val="18"/>
              </w:rPr>
              <w:t>Intent</w:t>
            </w:r>
          </w:p>
        </w:tc>
        <w:tc>
          <w:tcPr>
            <w:tcW w:type="dxa" w:w="1954"/>
            <w:shd w:fill="F2F2F2" w:val="clear"/>
            <w:tcBorders>
              <w:bottom w:val="single" w:sz="4" w:space="0" w:color="000000"/>
            </w:tcBorders>
          </w:tcPr>
          <w:p>
            <w:pPr>
              <w:jc w:val="center"/>
            </w:pPr>
            <w:r>
              <w:rPr>
                <w:rFonts w:ascii="Times New Roman" w:hAnsi="Times New Roman"/>
                <w:b/>
                <w:sz w:val="18"/>
              </w:rPr>
              <w:t>Date</w:t>
            </w:r>
          </w:p>
        </w:tc>
      </w:tr>
      <w:tr>
        <w:tc>
          <w:tcPr>
            <w:tcW w:type="dxa" w:w="1954"/>
          </w:tcPr>
          <w:p>
            <w:pPr>
              <w:spacing w:before="20" w:after="20" w:line="240" w:lineRule="exact"/>
              <w:jc w:val="left"/>
            </w:pPr>
            <w:r>
              <w:rPr>
                <w:rFonts w:ascii="Times New Roman" w:hAnsi="Times New Roman"/>
                <w:b w:val="0"/>
                <w:sz w:val="16"/>
              </w:rPr>
              <w:t>xxx</w:t>
            </w:r>
          </w:p>
        </w:tc>
        <w:tc>
          <w:tcPr>
            <w:tcW w:type="dxa" w:w="1954"/>
          </w:tcPr>
          <w:p>
            <w:pPr>
              <w:spacing w:before="20" w:after="20" w:line="240" w:lineRule="exact"/>
              <w:jc w:val="center"/>
            </w:pPr>
            <w:r>
              <w:rPr>
                <w:rFonts w:ascii="Times New Roman" w:hAnsi="Times New Roman"/>
                <w:b w:val="0"/>
                <w:sz w:val="16"/>
              </w:rPr>
              <w:t>xxxx/xxx</w:t>
            </w:r>
          </w:p>
        </w:tc>
        <w:tc>
          <w:tcPr>
            <w:tcW w:type="dxa" w:w="1954"/>
          </w:tcPr>
          <w:p>
            <w:pPr>
              <w:spacing w:before="20" w:after="20" w:line="240" w:lineRule="exact"/>
              <w:jc w:val="center"/>
            </w:pPr>
            <w:r>
              <w:rPr>
                <w:rFonts w:ascii="Times New Roman" w:hAnsi="Times New Roman"/>
                <w:b w:val="0"/>
                <w:sz w:val="16"/>
              </w:rPr>
              <w:t>Group</w:t>
            </w:r>
          </w:p>
        </w:tc>
        <w:tc>
          <w:tcPr>
            <w:tcW w:type="dxa" w:w="1954"/>
          </w:tcPr>
          <w:p>
            <w:pPr>
              <w:spacing w:before="20" w:after="20" w:line="240" w:lineRule="exact"/>
              <w:jc w:val="center"/>
            </w:pPr>
            <w:r>
              <w:rPr>
                <w:rFonts w:ascii="Times New Roman" w:hAnsi="Times New Roman"/>
                <w:b w:val="0"/>
                <w:sz w:val="16"/>
              </w:rPr>
              <w:t>Surgery/Radiotherapy Name</w:t>
            </w:r>
          </w:p>
        </w:tc>
        <w:tc>
          <w:tcPr>
            <w:tcW w:type="dxa" w:w="1954"/>
          </w:tcPr>
          <w:p>
            <w:pPr>
              <w:spacing w:before="20" w:after="20" w:line="240" w:lineRule="exact"/>
              <w:jc w:val="center"/>
            </w:pPr>
            <w:r>
              <w:rPr>
                <w:rFonts w:ascii="Times New Roman" w:hAnsi="Times New Roman"/>
                <w:b w:val="0"/>
                <w:sz w:val="16"/>
              </w:rPr>
              <w:t>Location xxxxxxx</w:t>
            </w:r>
          </w:p>
        </w:tc>
        <w:tc>
          <w:tcPr>
            <w:tcW w:type="dxa" w:w="1954"/>
          </w:tcPr>
          <w:p>
            <w:pPr>
              <w:spacing w:before="20" w:after="20" w:line="240" w:lineRule="exact"/>
              <w:jc w:val="center"/>
            </w:pPr>
            <w:r>
              <w:rPr>
                <w:rFonts w:ascii="Times New Roman" w:hAnsi="Times New Roman"/>
                <w:b w:val="0"/>
                <w:sz w:val="16"/>
              </w:rPr>
              <w:t>Curative/Palliative/Adjuvant</w:t>
            </w:r>
          </w:p>
        </w:tc>
        <w:tc>
          <w:tcPr>
            <w:tcW w:type="dxa" w:w="1954"/>
          </w:tcPr>
          <w:p>
            <w:pPr>
              <w:spacing w:before="20" w:after="20" w:line="240" w:lineRule="exact"/>
              <w:jc w:val="center"/>
            </w:pPr>
            <w:r>
              <w:rPr>
                <w:rFonts w:ascii="Times New Roman" w:hAnsi="Times New Roman"/>
                <w:b w:val="0"/>
                <w:sz w:val="16"/>
              </w:rPr>
              <w:t>DDMMMYYYY</w:t>
            </w:r>
          </w:p>
        </w:tc>
      </w:tr>
      <w:tr>
        <w:tc>
          <w:tcPr>
            <w:tcW w:type="dxa" w:w="1954"/>
          </w:tcPr>
          <w:p>
            <w:pPr>
              <w:spacing w:before="20" w:after="20" w:line="240" w:lineRule="exact"/>
              <w:jc w:val="left"/>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c>
          <w:tcPr>
            <w:tcW w:type="dxa" w:w="195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Dataset: ADSL, ADCM. Program: l_prior_cancer_proc.sas.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16.2.22  Listing of Adverse Events of Special Interest (AESI)</w:t>
      </w:r>
      <w:r>
        <w:bookmarkStart w:id="0" w:name="L16.2.22"/>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140"/>
        <w:gridCol w:w="1140"/>
        <w:gridCol w:w="1140"/>
        <w:gridCol w:w="1140"/>
        <w:gridCol w:w="1140"/>
        <w:gridCol w:w="1140"/>
        <w:gridCol w:w="1140"/>
        <w:gridCol w:w="1140"/>
        <w:gridCol w:w="1140"/>
        <w:gridCol w:w="1140"/>
        <w:gridCol w:w="1140"/>
        <w:gridCol w:w="1140"/>
      </w:tblGrid>
      <w:tr>
        <w:trPr>
          <w:tblHeader w:val="true"/>
        </w:trPr>
        <w:tc>
          <w:tcPr>
            <w:tcW w:type="dxa" w:w="1140"/>
            <w:shd w:fill="F2F2F2" w:val="clear"/>
            <w:tcBorders>
              <w:bottom w:val="single" w:sz="4" w:space="0" w:color="000000"/>
            </w:tcBorders>
          </w:tcPr>
          <w:p>
            <w:pPr>
              <w:jc w:val="left"/>
            </w:pPr>
            <w:r>
              <w:rPr>
                <w:rFonts w:ascii="Times New Roman" w:hAnsi="Times New Roman"/>
                <w:b/>
                <w:sz w:val="18"/>
              </w:rPr>
              <w:t>Site</w:t>
            </w:r>
          </w:p>
        </w:tc>
        <w:tc>
          <w:tcPr>
            <w:tcW w:type="dxa" w:w="1140"/>
            <w:shd w:fill="F2F2F2" w:val="clear"/>
            <w:tcBorders>
              <w:bottom w:val="single" w:sz="4" w:space="0" w:color="000000"/>
            </w:tcBorders>
          </w:tcPr>
          <w:p>
            <w:pPr>
              <w:jc w:val="center"/>
            </w:pPr>
            <w:r>
              <w:rPr>
                <w:rFonts w:ascii="Times New Roman" w:hAnsi="Times New Roman"/>
                <w:b/>
                <w:sz w:val="18"/>
              </w:rPr>
              <w:t>Subject</w:t>
            </w:r>
          </w:p>
        </w:tc>
        <w:tc>
          <w:tcPr>
            <w:tcW w:type="dxa" w:w="1140"/>
            <w:shd w:fill="F2F2F2" w:val="clear"/>
            <w:tcBorders>
              <w:bottom w:val="single" w:sz="4" w:space="0" w:color="000000"/>
            </w:tcBorders>
          </w:tcPr>
          <w:p>
            <w:pPr>
              <w:jc w:val="center"/>
            </w:pPr>
            <w:r>
              <w:rPr>
                <w:rFonts w:ascii="Times New Roman" w:hAnsi="Times New Roman"/>
                <w:b/>
                <w:sz w:val="18"/>
              </w:rPr>
              <w:t>Group</w:t>
            </w:r>
          </w:p>
        </w:tc>
        <w:tc>
          <w:tcPr>
            <w:tcW w:type="dxa" w:w="1140"/>
            <w:shd w:fill="F2F2F2" w:val="clear"/>
            <w:tcBorders>
              <w:bottom w:val="single" w:sz="4" w:space="0" w:color="000000"/>
            </w:tcBorders>
          </w:tcPr>
          <w:p>
            <w:pPr>
              <w:jc w:val="center"/>
            </w:pPr>
            <w:r>
              <w:rPr>
                <w:rFonts w:ascii="Times New Roman" w:hAnsi="Times New Roman"/>
                <w:b/>
                <w:sz w:val="18"/>
              </w:rPr>
              <w:t>AESI Category</w:t>
            </w:r>
          </w:p>
        </w:tc>
        <w:tc>
          <w:tcPr>
            <w:tcW w:type="dxa" w:w="1140"/>
            <w:shd w:fill="F2F2F2" w:val="clear"/>
            <w:tcBorders>
              <w:bottom w:val="single" w:sz="4" w:space="0" w:color="000000"/>
            </w:tcBorders>
          </w:tcPr>
          <w:p>
            <w:pPr>
              <w:jc w:val="center"/>
            </w:pPr>
            <w:r>
              <w:rPr>
                <w:rFonts w:ascii="Times New Roman" w:hAnsi="Times New Roman"/>
                <w:b/>
                <w:sz w:val="18"/>
              </w:rPr>
              <w:t>Preferred Term</w:t>
            </w:r>
          </w:p>
        </w:tc>
        <w:tc>
          <w:tcPr>
            <w:tcW w:type="dxa" w:w="1140"/>
            <w:shd w:fill="F2F2F2" w:val="clear"/>
            <w:tcBorders>
              <w:bottom w:val="single" w:sz="4" w:space="0" w:color="000000"/>
            </w:tcBorders>
          </w:tcPr>
          <w:p>
            <w:pPr>
              <w:jc w:val="center"/>
            </w:pPr>
            <w:r>
              <w:rPr>
                <w:rFonts w:ascii="Times New Roman" w:hAnsi="Times New Roman"/>
                <w:b/>
                <w:sz w:val="18"/>
              </w:rPr>
              <w:t>CTCAE Grade</w:t>
            </w:r>
          </w:p>
        </w:tc>
        <w:tc>
          <w:tcPr>
            <w:tcW w:type="dxa" w:w="1140"/>
            <w:shd w:fill="F2F2F2" w:val="clear"/>
            <w:tcBorders>
              <w:bottom w:val="single" w:sz="4" w:space="0" w:color="000000"/>
            </w:tcBorders>
          </w:tcPr>
          <w:p>
            <w:pPr>
              <w:jc w:val="center"/>
            </w:pPr>
            <w:r>
              <w:rPr>
                <w:rFonts w:ascii="Times New Roman" w:hAnsi="Times New Roman"/>
                <w:b/>
                <w:sz w:val="18"/>
              </w:rPr>
              <w:t>Start Date</w:t>
            </w:r>
          </w:p>
        </w:tc>
        <w:tc>
          <w:tcPr>
            <w:tcW w:type="dxa" w:w="1140"/>
            <w:shd w:fill="F2F2F2" w:val="clear"/>
            <w:tcBorders>
              <w:bottom w:val="single" w:sz="4" w:space="0" w:color="000000"/>
            </w:tcBorders>
          </w:tcPr>
          <w:p>
            <w:pPr>
              <w:jc w:val="center"/>
            </w:pPr>
            <w:r>
              <w:rPr>
                <w:rFonts w:ascii="Times New Roman" w:hAnsi="Times New Roman"/>
                <w:b/>
                <w:sz w:val="18"/>
              </w:rPr>
              <w:t>End Date</w:t>
            </w:r>
          </w:p>
        </w:tc>
        <w:tc>
          <w:tcPr>
            <w:tcW w:type="dxa" w:w="1140"/>
            <w:shd w:fill="F2F2F2" w:val="clear"/>
            <w:tcBorders>
              <w:bottom w:val="single" w:sz="4" w:space="0" w:color="000000"/>
            </w:tcBorders>
          </w:tcPr>
          <w:p>
            <w:pPr>
              <w:jc w:val="center"/>
            </w:pPr>
            <w:r>
              <w:rPr>
                <w:rFonts w:ascii="Times New Roman" w:hAnsi="Times New Roman"/>
                <w:b/>
                <w:sz w:val="18"/>
              </w:rPr>
              <w:t>Outcome</w:t>
            </w:r>
          </w:p>
        </w:tc>
        <w:tc>
          <w:tcPr>
            <w:tcW w:type="dxa" w:w="1140"/>
            <w:shd w:fill="F2F2F2" w:val="clear"/>
            <w:tcBorders>
              <w:bottom w:val="single" w:sz="4" w:space="0" w:color="000000"/>
            </w:tcBorders>
          </w:tcPr>
          <w:p>
            <w:pPr>
              <w:jc w:val="center"/>
            </w:pPr>
            <w:r>
              <w:rPr>
                <w:rFonts w:ascii="Times New Roman" w:hAnsi="Times New Roman"/>
                <w:b/>
                <w:sz w:val="18"/>
              </w:rPr>
              <w:t>Serious?</w:t>
            </w:r>
          </w:p>
        </w:tc>
        <w:tc>
          <w:tcPr>
            <w:tcW w:type="dxa" w:w="1140"/>
            <w:shd w:fill="F2F2F2" w:val="clear"/>
            <w:tcBorders>
              <w:bottom w:val="single" w:sz="4" w:space="0" w:color="000000"/>
            </w:tcBorders>
          </w:tcPr>
          <w:p>
            <w:pPr>
              <w:jc w:val="center"/>
            </w:pPr>
            <w:r>
              <w:rPr>
                <w:rFonts w:ascii="Times New Roman" w:hAnsi="Times New Roman"/>
                <w:b/>
                <w:sz w:val="18"/>
              </w:rPr>
              <w:t>Relationship</w:t>
            </w:r>
          </w:p>
        </w:tc>
        <w:tc>
          <w:tcPr>
            <w:tcW w:type="dxa" w:w="1140"/>
            <w:shd w:fill="F2F2F2" w:val="clear"/>
            <w:tcBorders>
              <w:bottom w:val="single" w:sz="4" w:space="0" w:color="000000"/>
            </w:tcBorders>
          </w:tcPr>
          <w:p>
            <w:pPr>
              <w:jc w:val="center"/>
            </w:pPr>
            <w:r>
              <w:rPr>
                <w:rFonts w:ascii="Times New Roman" w:hAnsi="Times New Roman"/>
                <w:b/>
                <w:sz w:val="18"/>
              </w:rPr>
              <w:t>Narrative ID</w:t>
            </w:r>
          </w:p>
        </w:tc>
      </w:tr>
      <w:tr>
        <w:tc>
          <w:tcPr>
            <w:tcW w:type="dxa" w:w="1140"/>
          </w:tcPr>
          <w:p>
            <w:pPr>
              <w:spacing w:before="20" w:after="20" w:line="240" w:lineRule="exact"/>
              <w:jc w:val="left"/>
            </w:pPr>
            <w:r>
              <w:rPr>
                <w:rFonts w:ascii="Times New Roman" w:hAnsi="Times New Roman"/>
                <w:b w:val="0"/>
                <w:sz w:val="16"/>
              </w:rPr>
              <w:t>xxx</w:t>
            </w:r>
          </w:p>
        </w:tc>
        <w:tc>
          <w:tcPr>
            <w:tcW w:type="dxa" w:w="1140"/>
          </w:tcPr>
          <w:p>
            <w:pPr>
              <w:spacing w:before="20" w:after="20" w:line="240" w:lineRule="exact"/>
              <w:jc w:val="center"/>
            </w:pPr>
            <w:r>
              <w:rPr>
                <w:rFonts w:ascii="Times New Roman" w:hAnsi="Times New Roman"/>
                <w:b w:val="0"/>
                <w:sz w:val="16"/>
              </w:rPr>
              <w:t>xxxx/xxx</w:t>
            </w:r>
          </w:p>
        </w:tc>
        <w:tc>
          <w:tcPr>
            <w:tcW w:type="dxa" w:w="1140"/>
          </w:tcPr>
          <w:p>
            <w:pPr>
              <w:spacing w:before="20" w:after="20" w:line="240" w:lineRule="exact"/>
              <w:jc w:val="center"/>
            </w:pPr>
            <w:r>
              <w:rPr>
                <w:rFonts w:ascii="Times New Roman" w:hAnsi="Times New Roman"/>
                <w:b w:val="0"/>
                <w:sz w:val="16"/>
              </w:rPr>
              <w:t>Group</w:t>
            </w:r>
          </w:p>
        </w:tc>
        <w:tc>
          <w:tcPr>
            <w:tcW w:type="dxa" w:w="1140"/>
          </w:tcPr>
          <w:p>
            <w:pPr>
              <w:spacing w:before="20" w:after="20" w:line="240" w:lineRule="exact"/>
              <w:jc w:val="center"/>
            </w:pPr>
            <w:r>
              <w:rPr>
                <w:rFonts w:ascii="Times New Roman" w:hAnsi="Times New Roman"/>
                <w:b w:val="0"/>
                <w:sz w:val="16"/>
              </w:rPr>
              <w:t>Hepatotoxicity</w:t>
            </w:r>
          </w:p>
        </w:tc>
        <w:tc>
          <w:tcPr>
            <w:tcW w:type="dxa" w:w="1140"/>
          </w:tcPr>
          <w:p>
            <w:pPr>
              <w:spacing w:before="20" w:after="20" w:line="240" w:lineRule="exact"/>
              <w:jc w:val="center"/>
            </w:pPr>
            <w:r>
              <w:rPr>
                <w:rFonts w:ascii="Times New Roman" w:hAnsi="Times New Roman"/>
                <w:b w:val="0"/>
                <w:sz w:val="16"/>
              </w:rPr>
              <w:t>ALT Increased</w:t>
            </w:r>
          </w:p>
        </w:tc>
        <w:tc>
          <w:tcPr>
            <w:tcW w:type="dxa" w:w="1140"/>
          </w:tcPr>
          <w:p>
            <w:pPr>
              <w:spacing w:before="20" w:after="20" w:line="240" w:lineRule="exact"/>
              <w:jc w:val="center"/>
            </w:pPr>
            <w:r>
              <w:rPr>
                <w:rFonts w:ascii="Times New Roman" w:hAnsi="Times New Roman"/>
                <w:b w:val="0"/>
                <w:sz w:val="16"/>
              </w:rPr>
              <w:t>3</w:t>
            </w:r>
          </w:p>
        </w:tc>
        <w:tc>
          <w:tcPr>
            <w:tcW w:type="dxa" w:w="1140"/>
          </w:tcPr>
          <w:p>
            <w:pPr>
              <w:spacing w:before="20" w:after="20" w:line="240" w:lineRule="exact"/>
              <w:jc w:val="center"/>
            </w:pPr>
            <w:r>
              <w:rPr>
                <w:rFonts w:ascii="Times New Roman" w:hAnsi="Times New Roman"/>
                <w:b w:val="0"/>
                <w:sz w:val="16"/>
              </w:rPr>
              <w:t>DDMMMYYYY</w:t>
            </w:r>
          </w:p>
        </w:tc>
        <w:tc>
          <w:tcPr>
            <w:tcW w:type="dxa" w:w="1140"/>
          </w:tcPr>
          <w:p>
            <w:pPr>
              <w:spacing w:before="20" w:after="20" w:line="240" w:lineRule="exact"/>
              <w:jc w:val="center"/>
            </w:pPr>
            <w:r>
              <w:rPr>
                <w:rFonts w:ascii="Times New Roman" w:hAnsi="Times New Roman"/>
                <w:b w:val="0"/>
                <w:sz w:val="16"/>
              </w:rPr>
              <w:t>DDMMMYYYY</w:t>
            </w:r>
          </w:p>
        </w:tc>
        <w:tc>
          <w:tcPr>
            <w:tcW w:type="dxa" w:w="1140"/>
          </w:tcPr>
          <w:p>
            <w:pPr>
              <w:spacing w:before="20" w:after="20" w:line="240" w:lineRule="exact"/>
              <w:jc w:val="center"/>
            </w:pPr>
            <w:r>
              <w:rPr>
                <w:rFonts w:ascii="Times New Roman" w:hAnsi="Times New Roman"/>
                <w:b w:val="0"/>
                <w:sz w:val="16"/>
              </w:rPr>
              <w:t>Recovered</w:t>
            </w:r>
          </w:p>
        </w:tc>
        <w:tc>
          <w:tcPr>
            <w:tcW w:type="dxa" w:w="1140"/>
          </w:tcPr>
          <w:p>
            <w:pPr>
              <w:spacing w:before="20" w:after="20" w:line="240" w:lineRule="exact"/>
              <w:jc w:val="center"/>
            </w:pPr>
            <w:r>
              <w:rPr>
                <w:rFonts w:ascii="Times New Roman" w:hAnsi="Times New Roman"/>
                <w:b w:val="0"/>
                <w:sz w:val="16"/>
              </w:rPr>
              <w:t>N</w:t>
            </w:r>
          </w:p>
        </w:tc>
        <w:tc>
          <w:tcPr>
            <w:tcW w:type="dxa" w:w="1140"/>
          </w:tcPr>
          <w:p>
            <w:pPr>
              <w:spacing w:before="20" w:after="20" w:line="240" w:lineRule="exact"/>
              <w:jc w:val="center"/>
            </w:pPr>
            <w:r>
              <w:rPr>
                <w:rFonts w:ascii="Times New Roman" w:hAnsi="Times New Roman"/>
                <w:b w:val="0"/>
                <w:sz w:val="16"/>
              </w:rPr>
              <w:t>Related</w:t>
            </w:r>
          </w:p>
        </w:tc>
        <w:tc>
          <w:tcPr>
            <w:tcW w:type="dxa" w:w="1140"/>
          </w:tcPr>
          <w:p>
            <w:pPr>
              <w:spacing w:before="20" w:after="20" w:line="240" w:lineRule="exact"/>
              <w:jc w:val="center"/>
            </w:pPr>
            <w:r>
              <w:rPr>
                <w:rFonts w:ascii="Times New Roman" w:hAnsi="Times New Roman"/>
                <w:b w:val="0"/>
                <w:sz w:val="16"/>
              </w:rPr>
              <w:t>NAR-xxxx</w:t>
            </w:r>
          </w:p>
        </w:tc>
      </w:tr>
      <w:tr>
        <w:tc>
          <w:tcPr>
            <w:tcW w:type="dxa" w:w="1140"/>
          </w:tcPr>
          <w:p>
            <w:pPr>
              <w:spacing w:before="20" w:after="20" w:line="240" w:lineRule="exact"/>
              <w:jc w:val="left"/>
            </w:pPr>
            <w:r>
              <w:rPr>
                <w:rFonts w:ascii="Times New Roman" w:hAnsi="Times New Roman"/>
                <w:b w:val="0"/>
                <w:sz w:val="16"/>
              </w:rPr>
              <w:t>xxx</w:t>
            </w:r>
          </w:p>
        </w:tc>
        <w:tc>
          <w:tcPr>
            <w:tcW w:type="dxa" w:w="1140"/>
          </w:tcPr>
          <w:p>
            <w:pPr>
              <w:spacing w:before="20" w:after="20" w:line="240" w:lineRule="exact"/>
              <w:jc w:val="center"/>
            </w:pPr>
            <w:r>
              <w:rPr>
                <w:rFonts w:ascii="Times New Roman" w:hAnsi="Times New Roman"/>
                <w:b w:val="0"/>
                <w:sz w:val="16"/>
              </w:rPr>
              <w:t>xxxx/xxx</w:t>
            </w:r>
          </w:p>
        </w:tc>
        <w:tc>
          <w:tcPr>
            <w:tcW w:type="dxa" w:w="1140"/>
          </w:tcPr>
          <w:p>
            <w:pPr>
              <w:spacing w:before="20" w:after="20" w:line="240" w:lineRule="exact"/>
              <w:jc w:val="center"/>
            </w:pPr>
            <w:r>
              <w:rPr>
                <w:rFonts w:ascii="Times New Roman" w:hAnsi="Times New Roman"/>
                <w:b w:val="0"/>
                <w:sz w:val="16"/>
              </w:rPr>
              <w:t>Group</w:t>
            </w:r>
          </w:p>
        </w:tc>
        <w:tc>
          <w:tcPr>
            <w:tcW w:type="dxa" w:w="1140"/>
          </w:tcPr>
          <w:p>
            <w:pPr>
              <w:spacing w:before="20" w:after="20" w:line="240" w:lineRule="exact"/>
              <w:jc w:val="center"/>
            </w:pPr>
            <w:r>
              <w:rPr>
                <w:rFonts w:ascii="Times New Roman" w:hAnsi="Times New Roman"/>
                <w:b w:val="0"/>
                <w:sz w:val="16"/>
              </w:rPr>
              <w:t>Infusion Reaction</w:t>
            </w:r>
          </w:p>
        </w:tc>
        <w:tc>
          <w:tcPr>
            <w:tcW w:type="dxa" w:w="1140"/>
          </w:tcPr>
          <w:p>
            <w:pPr>
              <w:spacing w:before="20" w:after="20" w:line="240" w:lineRule="exact"/>
              <w:jc w:val="center"/>
            </w:pPr>
            <w:r>
              <w:rPr>
                <w:rFonts w:ascii="Times New Roman" w:hAnsi="Times New Roman"/>
                <w:b w:val="0"/>
                <w:sz w:val="16"/>
              </w:rPr>
              <w:t>Anaphylaxis</w:t>
            </w:r>
          </w:p>
        </w:tc>
        <w:tc>
          <w:tcPr>
            <w:tcW w:type="dxa" w:w="1140"/>
          </w:tcPr>
          <w:p>
            <w:pPr>
              <w:spacing w:before="20" w:after="20" w:line="240" w:lineRule="exact"/>
              <w:jc w:val="center"/>
            </w:pPr>
            <w:r>
              <w:rPr>
                <w:rFonts w:ascii="Times New Roman" w:hAnsi="Times New Roman"/>
                <w:b w:val="0"/>
                <w:sz w:val="16"/>
              </w:rPr>
              <w:t>4</w:t>
            </w:r>
          </w:p>
        </w:tc>
        <w:tc>
          <w:tcPr>
            <w:tcW w:type="dxa" w:w="1140"/>
          </w:tcPr>
          <w:p>
            <w:pPr>
              <w:spacing w:before="20" w:after="20" w:line="240" w:lineRule="exact"/>
              <w:jc w:val="center"/>
            </w:pPr>
            <w:r>
              <w:rPr>
                <w:rFonts w:ascii="Times New Roman" w:hAnsi="Times New Roman"/>
                <w:b w:val="0"/>
                <w:sz w:val="16"/>
              </w:rPr>
              <w:t>DDMMMYYYY</w:t>
            </w:r>
          </w:p>
        </w:tc>
        <w:tc>
          <w:tcPr>
            <w:tcW w:type="dxa" w:w="1140"/>
          </w:tcPr>
          <w:p>
            <w:pPr>
              <w:spacing w:before="20" w:after="20" w:line="240" w:lineRule="exact"/>
              <w:jc w:val="center"/>
            </w:pPr>
            <w:r>
              <w:rPr>
                <w:rFonts w:ascii="Times New Roman" w:hAnsi="Times New Roman"/>
                <w:b w:val="0"/>
                <w:sz w:val="16"/>
              </w:rPr>
              <w:t>DDMMMYYYY</w:t>
            </w:r>
          </w:p>
        </w:tc>
        <w:tc>
          <w:tcPr>
            <w:tcW w:type="dxa" w:w="1140"/>
          </w:tcPr>
          <w:p>
            <w:pPr>
              <w:spacing w:before="20" w:after="20" w:line="240" w:lineRule="exact"/>
              <w:jc w:val="center"/>
            </w:pPr>
            <w:r>
              <w:rPr>
                <w:rFonts w:ascii="Times New Roman" w:hAnsi="Times New Roman"/>
                <w:b w:val="0"/>
                <w:sz w:val="16"/>
              </w:rPr>
              <w:t>Recovered/Resolved with Sequelae</w:t>
            </w:r>
          </w:p>
        </w:tc>
        <w:tc>
          <w:tcPr>
            <w:tcW w:type="dxa" w:w="1140"/>
          </w:tcPr>
          <w:p>
            <w:pPr>
              <w:spacing w:before="20" w:after="20" w:line="240" w:lineRule="exact"/>
              <w:jc w:val="center"/>
            </w:pPr>
            <w:r>
              <w:rPr>
                <w:rFonts w:ascii="Times New Roman" w:hAnsi="Times New Roman"/>
                <w:b w:val="0"/>
                <w:sz w:val="16"/>
              </w:rPr>
              <w:t>Y</w:t>
            </w:r>
          </w:p>
        </w:tc>
        <w:tc>
          <w:tcPr>
            <w:tcW w:type="dxa" w:w="1140"/>
          </w:tcPr>
          <w:p>
            <w:pPr>
              <w:spacing w:before="20" w:after="20" w:line="240" w:lineRule="exact"/>
              <w:jc w:val="center"/>
            </w:pPr>
            <w:r>
              <w:rPr>
                <w:rFonts w:ascii="Times New Roman" w:hAnsi="Times New Roman"/>
                <w:b w:val="0"/>
                <w:sz w:val="16"/>
              </w:rPr>
              <w:t>Related</w:t>
            </w:r>
          </w:p>
        </w:tc>
        <w:tc>
          <w:tcPr>
            <w:tcW w:type="dxa" w:w="1140"/>
          </w:tcPr>
          <w:p>
            <w:pPr>
              <w:spacing w:before="20" w:after="20" w:line="240" w:lineRule="exact"/>
              <w:jc w:val="center"/>
            </w:pPr>
            <w:r>
              <w:rPr>
                <w:rFonts w:ascii="Times New Roman" w:hAnsi="Times New Roman"/>
                <w:b w:val="0"/>
                <w:sz w:val="16"/>
              </w:rPr>
              <w:t>NAR-xxxx</w:t>
            </w:r>
          </w:p>
        </w:tc>
      </w:tr>
      <w:tr>
        <w:tc>
          <w:tcPr>
            <w:tcW w:type="dxa" w:w="1140"/>
          </w:tcPr>
          <w:p>
            <w:pPr>
              <w:spacing w:before="20" w:after="20" w:line="240" w:lineRule="exact"/>
              <w:jc w:val="left"/>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c>
          <w:tcPr>
            <w:tcW w:type="dxa" w:w="114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AESI categories per protocol. Refer to Section 14.3.1 for AESI summary tables.</w:t>
      </w:r>
    </w:p>
    <w:p>
      <w:pPr>
        <w:spacing w:before="0" w:after="0"/>
      </w:pPr>
      <w:r>
        <w:rPr>
          <w:rFonts w:ascii="Times New Roman" w:hAnsi="Times New Roman"/>
          <w:i/>
          <w:sz w:val="16"/>
        </w:rPr>
        <w:t>[2] Dataset: ADSL, ADAE. Program: l_aesi.sas.</w:t>
      </w:r>
    </w:p>
    <w:p>
      <w:pPr>
        <w:spacing w:before="0" w:after="0"/>
      </w:pPr>
      <w:r>
        <w:rPr>
          <w:rFonts w:ascii="Times New Roman" w:hAnsi="Times New Roman"/>
          <w:i/>
          <w:sz w:val="16"/>
        </w:rPr>
        <w:t>[3] Coding and grading: Adverse event terms were coded using MedDRA v[xx.x] and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16.2.23  Listing of Subjects with Hy's Law Laboratory Criteria</w:t>
      </w:r>
      <w:r>
        <w:bookmarkStart w:id="0" w:name="L16.2.23"/>
        <w:bookmarkEnd w:id="0"/>
      </w:r>
    </w:p>
    <w:p>
      <w:pPr>
        <w:keepNext/>
        <w:spacing w:before="40" w:after="160"/>
      </w:pPr>
      <w:r>
        <w:rPr>
          <w:rFonts w:ascii="Times New Roman" w:hAnsi="Times New Roman"/>
          <w:i/>
          <w:sz w:val="18"/>
        </w:rPr>
        <w:t>Analysis Set: Safety Population with Baseline and Post-Baseline Labs</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77"/>
        <w:gridCol w:w="977"/>
        <w:gridCol w:w="977"/>
        <w:gridCol w:w="977"/>
        <w:gridCol w:w="977"/>
        <w:gridCol w:w="977"/>
        <w:gridCol w:w="977"/>
        <w:gridCol w:w="977"/>
        <w:gridCol w:w="977"/>
        <w:gridCol w:w="977"/>
        <w:gridCol w:w="977"/>
        <w:gridCol w:w="977"/>
        <w:gridCol w:w="977"/>
        <w:gridCol w:w="977"/>
      </w:tblGrid>
      <w:tr>
        <w:trPr>
          <w:tblHeader w:val="true"/>
        </w:trPr>
        <w:tc>
          <w:tcPr>
            <w:tcW w:type="dxa" w:w="977"/>
            <w:shd w:fill="F2F2F2" w:val="clear"/>
            <w:tcBorders>
              <w:bottom w:val="single" w:sz="4" w:space="0" w:color="000000"/>
            </w:tcBorders>
          </w:tcPr>
          <w:p>
            <w:pPr>
              <w:jc w:val="left"/>
            </w:pPr>
            <w:r>
              <w:rPr>
                <w:rFonts w:ascii="Times New Roman" w:hAnsi="Times New Roman"/>
                <w:b/>
                <w:sz w:val="18"/>
              </w:rPr>
              <w:t>Site</w:t>
            </w:r>
          </w:p>
        </w:tc>
        <w:tc>
          <w:tcPr>
            <w:tcW w:type="dxa" w:w="977"/>
            <w:shd w:fill="F2F2F2" w:val="clear"/>
            <w:tcBorders>
              <w:bottom w:val="single" w:sz="4" w:space="0" w:color="000000"/>
            </w:tcBorders>
          </w:tcPr>
          <w:p>
            <w:pPr>
              <w:jc w:val="center"/>
            </w:pPr>
            <w:r>
              <w:rPr>
                <w:rFonts w:ascii="Times New Roman" w:hAnsi="Times New Roman"/>
                <w:b/>
                <w:sz w:val="18"/>
              </w:rPr>
              <w:t>Subject</w:t>
            </w:r>
          </w:p>
        </w:tc>
        <w:tc>
          <w:tcPr>
            <w:tcW w:type="dxa" w:w="977"/>
            <w:shd w:fill="F2F2F2" w:val="clear"/>
            <w:tcBorders>
              <w:bottom w:val="single" w:sz="4" w:space="0" w:color="000000"/>
            </w:tcBorders>
          </w:tcPr>
          <w:p>
            <w:pPr>
              <w:jc w:val="center"/>
            </w:pPr>
            <w:r>
              <w:rPr>
                <w:rFonts w:ascii="Times New Roman" w:hAnsi="Times New Roman"/>
                <w:b/>
                <w:sz w:val="18"/>
              </w:rPr>
              <w:t>Group</w:t>
            </w:r>
          </w:p>
        </w:tc>
        <w:tc>
          <w:tcPr>
            <w:tcW w:type="dxa" w:w="977"/>
            <w:shd w:fill="F2F2F2" w:val="clear"/>
            <w:tcBorders>
              <w:bottom w:val="single" w:sz="4" w:space="0" w:color="000000"/>
            </w:tcBorders>
          </w:tcPr>
          <w:p>
            <w:pPr>
              <w:jc w:val="center"/>
            </w:pPr>
            <w:r>
              <w:rPr>
                <w:rFonts w:ascii="Times New Roman" w:hAnsi="Times New Roman"/>
                <w:b/>
                <w:sz w:val="18"/>
              </w:rPr>
              <w:t>Visit</w:t>
            </w:r>
          </w:p>
        </w:tc>
        <w:tc>
          <w:tcPr>
            <w:tcW w:type="dxa" w:w="977"/>
            <w:shd w:fill="F2F2F2" w:val="clear"/>
            <w:tcBorders>
              <w:bottom w:val="single" w:sz="4" w:space="0" w:color="000000"/>
            </w:tcBorders>
          </w:tcPr>
          <w:p>
            <w:pPr>
              <w:jc w:val="center"/>
            </w:pPr>
            <w:r>
              <w:rPr>
                <w:rFonts w:ascii="Times New Roman" w:hAnsi="Times New Roman"/>
                <w:b/>
                <w:sz w:val="18"/>
              </w:rPr>
              <w:t>ALT (U/L)</w:t>
            </w:r>
          </w:p>
        </w:tc>
        <w:tc>
          <w:tcPr>
            <w:tcW w:type="dxa" w:w="977"/>
            <w:shd w:fill="F2F2F2" w:val="clear"/>
            <w:tcBorders>
              <w:bottom w:val="single" w:sz="4" w:space="0" w:color="000000"/>
            </w:tcBorders>
          </w:tcPr>
          <w:p>
            <w:pPr>
              <w:jc w:val="center"/>
            </w:pPr>
            <w:r>
              <w:rPr>
                <w:rFonts w:ascii="Times New Roman" w:hAnsi="Times New Roman"/>
                <w:b/>
                <w:sz w:val="18"/>
              </w:rPr>
              <w:t>ALT xULN</w:t>
            </w:r>
          </w:p>
        </w:tc>
        <w:tc>
          <w:tcPr>
            <w:tcW w:type="dxa" w:w="977"/>
            <w:shd w:fill="F2F2F2" w:val="clear"/>
            <w:tcBorders>
              <w:bottom w:val="single" w:sz="4" w:space="0" w:color="000000"/>
            </w:tcBorders>
          </w:tcPr>
          <w:p>
            <w:pPr>
              <w:jc w:val="center"/>
            </w:pPr>
            <w:r>
              <w:rPr>
                <w:rFonts w:ascii="Times New Roman" w:hAnsi="Times New Roman"/>
                <w:b/>
                <w:sz w:val="18"/>
              </w:rPr>
              <w:t>AST (U/L)</w:t>
            </w:r>
          </w:p>
        </w:tc>
        <w:tc>
          <w:tcPr>
            <w:tcW w:type="dxa" w:w="977"/>
            <w:shd w:fill="F2F2F2" w:val="clear"/>
            <w:tcBorders>
              <w:bottom w:val="single" w:sz="4" w:space="0" w:color="000000"/>
            </w:tcBorders>
          </w:tcPr>
          <w:p>
            <w:pPr>
              <w:jc w:val="center"/>
            </w:pPr>
            <w:r>
              <w:rPr>
                <w:rFonts w:ascii="Times New Roman" w:hAnsi="Times New Roman"/>
                <w:b/>
                <w:sz w:val="18"/>
              </w:rPr>
              <w:t>AST xULN</w:t>
            </w:r>
          </w:p>
        </w:tc>
        <w:tc>
          <w:tcPr>
            <w:tcW w:type="dxa" w:w="977"/>
            <w:shd w:fill="F2F2F2" w:val="clear"/>
            <w:tcBorders>
              <w:bottom w:val="single" w:sz="4" w:space="0" w:color="000000"/>
            </w:tcBorders>
          </w:tcPr>
          <w:p>
            <w:pPr>
              <w:jc w:val="center"/>
            </w:pPr>
            <w:r>
              <w:rPr>
                <w:rFonts w:ascii="Times New Roman" w:hAnsi="Times New Roman"/>
                <w:b/>
                <w:sz w:val="18"/>
              </w:rPr>
              <w:t>TBL (umol/L)</w:t>
            </w:r>
          </w:p>
        </w:tc>
        <w:tc>
          <w:tcPr>
            <w:tcW w:type="dxa" w:w="977"/>
            <w:shd w:fill="F2F2F2" w:val="clear"/>
            <w:tcBorders>
              <w:bottom w:val="single" w:sz="4" w:space="0" w:color="000000"/>
            </w:tcBorders>
          </w:tcPr>
          <w:p>
            <w:pPr>
              <w:jc w:val="center"/>
            </w:pPr>
            <w:r>
              <w:rPr>
                <w:rFonts w:ascii="Times New Roman" w:hAnsi="Times New Roman"/>
                <w:b/>
                <w:sz w:val="18"/>
              </w:rPr>
              <w:t>TBL xULN</w:t>
            </w:r>
          </w:p>
        </w:tc>
        <w:tc>
          <w:tcPr>
            <w:tcW w:type="dxa" w:w="977"/>
            <w:shd w:fill="F2F2F2" w:val="clear"/>
            <w:tcBorders>
              <w:bottom w:val="single" w:sz="4" w:space="0" w:color="000000"/>
            </w:tcBorders>
          </w:tcPr>
          <w:p>
            <w:pPr>
              <w:jc w:val="center"/>
            </w:pPr>
            <w:r>
              <w:rPr>
                <w:rFonts w:ascii="Times New Roman" w:hAnsi="Times New Roman"/>
                <w:b/>
                <w:sz w:val="18"/>
              </w:rPr>
              <w:t>ALP (U/L)</w:t>
            </w:r>
          </w:p>
        </w:tc>
        <w:tc>
          <w:tcPr>
            <w:tcW w:type="dxa" w:w="977"/>
            <w:shd w:fill="F2F2F2" w:val="clear"/>
            <w:tcBorders>
              <w:bottom w:val="single" w:sz="4" w:space="0" w:color="000000"/>
            </w:tcBorders>
          </w:tcPr>
          <w:p>
            <w:pPr>
              <w:jc w:val="center"/>
            </w:pPr>
            <w:r>
              <w:rPr>
                <w:rFonts w:ascii="Times New Roman" w:hAnsi="Times New Roman"/>
                <w:b/>
                <w:sz w:val="18"/>
              </w:rPr>
              <w:t>ALP xULN</w:t>
            </w:r>
          </w:p>
        </w:tc>
        <w:tc>
          <w:tcPr>
            <w:tcW w:type="dxa" w:w="977"/>
            <w:shd w:fill="F2F2F2" w:val="clear"/>
            <w:tcBorders>
              <w:bottom w:val="single" w:sz="4" w:space="0" w:color="000000"/>
            </w:tcBorders>
          </w:tcPr>
          <w:p>
            <w:pPr>
              <w:jc w:val="center"/>
            </w:pPr>
            <w:r>
              <w:rPr>
                <w:rFonts w:ascii="Times New Roman" w:hAnsi="Times New Roman"/>
                <w:b/>
                <w:sz w:val="18"/>
              </w:rPr>
              <w:t>Hy's Law?</w:t>
            </w:r>
          </w:p>
        </w:tc>
        <w:tc>
          <w:tcPr>
            <w:tcW w:type="dxa" w:w="977"/>
            <w:shd w:fill="F2F2F2" w:val="clear"/>
            <w:tcBorders>
              <w:bottom w:val="single" w:sz="4" w:space="0" w:color="000000"/>
            </w:tcBorders>
          </w:tcPr>
          <w:p>
            <w:pPr>
              <w:jc w:val="center"/>
            </w:pPr>
            <w:r>
              <w:rPr>
                <w:rFonts w:ascii="Times New Roman" w:hAnsi="Times New Roman"/>
                <w:b/>
                <w:sz w:val="18"/>
              </w:rPr>
              <w:t>Alternative Etiology</w:t>
            </w:r>
          </w:p>
        </w:tc>
      </w:tr>
      <w:tr>
        <w:tc>
          <w:tcPr>
            <w:tcW w:type="dxa" w:w="977"/>
          </w:tcPr>
          <w:p>
            <w:pPr>
              <w:spacing w:before="20" w:after="20" w:line="240" w:lineRule="exact"/>
              <w:jc w:val="left"/>
            </w:pPr>
            <w:r>
              <w:rPr>
                <w:rFonts w:ascii="Times New Roman" w:hAnsi="Times New Roman"/>
                <w:b w:val="0"/>
                <w:sz w:val="16"/>
              </w:rPr>
              <w:t>xxx</w:t>
            </w:r>
          </w:p>
        </w:tc>
        <w:tc>
          <w:tcPr>
            <w:tcW w:type="dxa" w:w="977"/>
          </w:tcPr>
          <w:p>
            <w:pPr>
              <w:spacing w:before="20" w:after="20" w:line="240" w:lineRule="exact"/>
              <w:jc w:val="center"/>
            </w:pPr>
            <w:r>
              <w:rPr>
                <w:rFonts w:ascii="Times New Roman" w:hAnsi="Times New Roman"/>
                <w:b w:val="0"/>
                <w:sz w:val="16"/>
              </w:rPr>
              <w:t>xxxx/xxx</w:t>
            </w:r>
          </w:p>
        </w:tc>
        <w:tc>
          <w:tcPr>
            <w:tcW w:type="dxa" w:w="977"/>
          </w:tcPr>
          <w:p>
            <w:pPr>
              <w:spacing w:before="20" w:after="20" w:line="240" w:lineRule="exact"/>
              <w:jc w:val="center"/>
            </w:pPr>
            <w:r>
              <w:rPr>
                <w:rFonts w:ascii="Times New Roman" w:hAnsi="Times New Roman"/>
                <w:b w:val="0"/>
                <w:sz w:val="16"/>
              </w:rPr>
              <w:t>Group</w:t>
            </w:r>
          </w:p>
        </w:tc>
        <w:tc>
          <w:tcPr>
            <w:tcW w:type="dxa" w:w="977"/>
          </w:tcPr>
          <w:p>
            <w:pPr>
              <w:spacing w:before="20" w:after="20" w:line="240" w:lineRule="exact"/>
              <w:jc w:val="center"/>
            </w:pPr>
            <w:r>
              <w:rPr>
                <w:rFonts w:ascii="Times New Roman" w:hAnsi="Times New Roman"/>
                <w:b w:val="0"/>
                <w:sz w:val="16"/>
              </w:rPr>
              <w:t>Wk 8</w:t>
            </w:r>
          </w:p>
        </w:tc>
        <w:tc>
          <w:tcPr>
            <w:tcW w:type="dxa" w:w="977"/>
          </w:tcPr>
          <w:p>
            <w:pPr>
              <w:spacing w:before="20" w:after="20" w:line="240" w:lineRule="exact"/>
              <w:jc w:val="center"/>
            </w:pPr>
            <w:r>
              <w:rPr>
                <w:rFonts w:ascii="Times New Roman" w:hAnsi="Times New Roman"/>
                <w:b w:val="0"/>
                <w:sz w:val="16"/>
              </w:rPr>
              <w:t>xxx</w:t>
            </w:r>
          </w:p>
        </w:tc>
        <w:tc>
          <w:tcPr>
            <w:tcW w:type="dxa" w:w="977"/>
          </w:tcPr>
          <w:p>
            <w:pPr>
              <w:spacing w:before="20" w:after="20" w:line="240" w:lineRule="exact"/>
              <w:jc w:val="center"/>
            </w:pPr>
            <w:r>
              <w:rPr>
                <w:rFonts w:ascii="Times New Roman" w:hAnsi="Times New Roman"/>
                <w:b w:val="0"/>
                <w:sz w:val="16"/>
              </w:rPr>
              <w:t>x.x</w:t>
            </w:r>
          </w:p>
        </w:tc>
        <w:tc>
          <w:tcPr>
            <w:tcW w:type="dxa" w:w="977"/>
          </w:tcPr>
          <w:p>
            <w:pPr>
              <w:spacing w:before="20" w:after="20" w:line="240" w:lineRule="exact"/>
              <w:jc w:val="center"/>
            </w:pPr>
            <w:r>
              <w:rPr>
                <w:rFonts w:ascii="Times New Roman" w:hAnsi="Times New Roman"/>
                <w:b w:val="0"/>
                <w:sz w:val="16"/>
              </w:rPr>
              <w:t>xxx</w:t>
            </w:r>
          </w:p>
        </w:tc>
        <w:tc>
          <w:tcPr>
            <w:tcW w:type="dxa" w:w="977"/>
          </w:tcPr>
          <w:p>
            <w:pPr>
              <w:spacing w:before="20" w:after="20" w:line="240" w:lineRule="exact"/>
              <w:jc w:val="center"/>
            </w:pPr>
            <w:r>
              <w:rPr>
                <w:rFonts w:ascii="Times New Roman" w:hAnsi="Times New Roman"/>
                <w:b w:val="0"/>
                <w:sz w:val="16"/>
              </w:rPr>
              <w:t>x.x</w:t>
            </w:r>
          </w:p>
        </w:tc>
        <w:tc>
          <w:tcPr>
            <w:tcW w:type="dxa" w:w="977"/>
          </w:tcPr>
          <w:p>
            <w:pPr>
              <w:spacing w:before="20" w:after="20" w:line="240" w:lineRule="exact"/>
              <w:jc w:val="center"/>
            </w:pPr>
            <w:r>
              <w:rPr>
                <w:rFonts w:ascii="Times New Roman" w:hAnsi="Times New Roman"/>
                <w:b w:val="0"/>
                <w:sz w:val="16"/>
              </w:rPr>
              <w:t>xx.x</w:t>
            </w:r>
          </w:p>
        </w:tc>
        <w:tc>
          <w:tcPr>
            <w:tcW w:type="dxa" w:w="977"/>
          </w:tcPr>
          <w:p>
            <w:pPr>
              <w:spacing w:before="20" w:after="20" w:line="240" w:lineRule="exact"/>
              <w:jc w:val="center"/>
            </w:pPr>
            <w:r>
              <w:rPr>
                <w:rFonts w:ascii="Times New Roman" w:hAnsi="Times New Roman"/>
                <w:b w:val="0"/>
                <w:sz w:val="16"/>
              </w:rPr>
              <w:t>x.x</w:t>
            </w:r>
          </w:p>
        </w:tc>
        <w:tc>
          <w:tcPr>
            <w:tcW w:type="dxa" w:w="977"/>
          </w:tcPr>
          <w:p>
            <w:pPr>
              <w:spacing w:before="20" w:after="20" w:line="240" w:lineRule="exact"/>
              <w:jc w:val="center"/>
            </w:pPr>
            <w:r>
              <w:rPr>
                <w:rFonts w:ascii="Times New Roman" w:hAnsi="Times New Roman"/>
                <w:b w:val="0"/>
                <w:sz w:val="16"/>
              </w:rPr>
              <w:t>xxx</w:t>
            </w:r>
          </w:p>
        </w:tc>
        <w:tc>
          <w:tcPr>
            <w:tcW w:type="dxa" w:w="977"/>
          </w:tcPr>
          <w:p>
            <w:pPr>
              <w:spacing w:before="20" w:after="20" w:line="240" w:lineRule="exact"/>
              <w:jc w:val="center"/>
            </w:pPr>
            <w:r>
              <w:rPr>
                <w:rFonts w:ascii="Times New Roman" w:hAnsi="Times New Roman"/>
                <w:b w:val="0"/>
                <w:sz w:val="16"/>
              </w:rPr>
              <w:t>x.x</w:t>
            </w:r>
          </w:p>
        </w:tc>
        <w:tc>
          <w:tcPr>
            <w:tcW w:type="dxa" w:w="977"/>
          </w:tcPr>
          <w:p>
            <w:pPr>
              <w:spacing w:before="20" w:after="20" w:line="240" w:lineRule="exact"/>
              <w:jc w:val="center"/>
            </w:pPr>
            <w:r>
              <w:rPr>
                <w:rFonts w:ascii="Times New Roman" w:hAnsi="Times New Roman"/>
                <w:b w:val="0"/>
                <w:sz w:val="16"/>
              </w:rPr>
              <w:t>Yes</w:t>
            </w:r>
          </w:p>
        </w:tc>
        <w:tc>
          <w:tcPr>
            <w:tcW w:type="dxa" w:w="977"/>
          </w:tcPr>
          <w:p>
            <w:pPr>
              <w:spacing w:before="20" w:after="20" w:line="240" w:lineRule="exact"/>
              <w:jc w:val="center"/>
            </w:pPr>
            <w:r>
              <w:rPr>
                <w:rFonts w:ascii="Times New Roman" w:hAnsi="Times New Roman"/>
                <w:b w:val="0"/>
                <w:sz w:val="16"/>
              </w:rPr>
              <w:t>xxxxxxx</w:t>
            </w:r>
          </w:p>
        </w:tc>
      </w:tr>
      <w:tr>
        <w:tc>
          <w:tcPr>
            <w:tcW w:type="dxa" w:w="977"/>
          </w:tcPr>
          <w:p>
            <w:pPr>
              <w:spacing w:before="20" w:after="20" w:line="240" w:lineRule="exact"/>
              <w:jc w:val="left"/>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c>
          <w:tcPr>
            <w:tcW w:type="dxa" w:w="977"/>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Hy's Law: ALT/AST &gt;=3xULN, TBL &gt;=2xULN, ALP &lt;2xULN, no alternative etiology. Refer to T14.3.2.2 and T14.3.2.4.</w:t>
      </w:r>
    </w:p>
    <w:p>
      <w:pPr>
        <w:spacing w:before="0" w:after="0"/>
      </w:pPr>
      <w:r>
        <w:rPr>
          <w:rFonts w:ascii="Times New Roman" w:hAnsi="Times New Roman"/>
          <w:i/>
          <w:sz w:val="16"/>
        </w:rPr>
        <w:t>[2] Dataset: ADSL, ADLB. Program: l_hyslaw.sas.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16.2.24  Listing of Physical Examination Findings</w:t>
      </w:r>
      <w:r>
        <w:bookmarkStart w:id="0" w:name="L16.2.24"/>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jc w:val="center"/>
            </w:pPr>
            <w:r>
              <w:rPr>
                <w:rFonts w:ascii="Times New Roman" w:hAnsi="Times New Roman"/>
                <w:b/>
                <w:sz w:val="18"/>
              </w:rPr>
              <w:t>Group</w:t>
            </w:r>
          </w:p>
        </w:tc>
        <w:tc>
          <w:tcPr>
            <w:tcW w:type="dxa" w:w="1710"/>
            <w:shd w:fill="F2F2F2" w:val="clear"/>
            <w:tcBorders>
              <w:bottom w:val="single" w:sz="4" w:space="0" w:color="000000"/>
            </w:tcBorders>
          </w:tcPr>
          <w:p>
            <w:pPr>
              <w:jc w:val="center"/>
            </w:pPr>
            <w:r>
              <w:rPr>
                <w:rFonts w:ascii="Times New Roman" w:hAnsi="Times New Roman"/>
                <w:b/>
                <w:sz w:val="18"/>
              </w:rPr>
              <w:t>Visit</w:t>
            </w:r>
          </w:p>
        </w:tc>
        <w:tc>
          <w:tcPr>
            <w:tcW w:type="dxa" w:w="1710"/>
            <w:shd w:fill="F2F2F2" w:val="clear"/>
            <w:tcBorders>
              <w:bottom w:val="single" w:sz="4" w:space="0" w:color="000000"/>
            </w:tcBorders>
          </w:tcPr>
          <w:p>
            <w:pPr>
              <w:jc w:val="center"/>
            </w:pPr>
            <w:r>
              <w:rPr>
                <w:rFonts w:ascii="Times New Roman" w:hAnsi="Times New Roman"/>
                <w:b/>
                <w:sz w:val="18"/>
              </w:rPr>
              <w:t>Body System</w:t>
            </w:r>
          </w:p>
        </w:tc>
        <w:tc>
          <w:tcPr>
            <w:tcW w:type="dxa" w:w="1710"/>
            <w:shd w:fill="F2F2F2" w:val="clear"/>
            <w:tcBorders>
              <w:bottom w:val="single" w:sz="4" w:space="0" w:color="000000"/>
            </w:tcBorders>
          </w:tcPr>
          <w:p>
            <w:pPr>
              <w:jc w:val="center"/>
            </w:pPr>
            <w:r>
              <w:rPr>
                <w:rFonts w:ascii="Times New Roman" w:hAnsi="Times New Roman"/>
                <w:b/>
                <w:sz w:val="18"/>
              </w:rPr>
              <w:t>Finding</w:t>
            </w:r>
          </w:p>
        </w:tc>
        <w:tc>
          <w:tcPr>
            <w:tcW w:type="dxa" w:w="1710"/>
            <w:shd w:fill="F2F2F2" w:val="clear"/>
            <w:tcBorders>
              <w:bottom w:val="single" w:sz="4" w:space="0" w:color="000000"/>
            </w:tcBorders>
          </w:tcPr>
          <w:p>
            <w:pPr>
              <w:jc w:val="center"/>
            </w:pPr>
            <w:r>
              <w:rPr>
                <w:rFonts w:ascii="Times New Roman" w:hAnsi="Times New Roman"/>
                <w:b/>
                <w:sz w:val="18"/>
              </w:rPr>
              <w:t>Baseline Status</w:t>
            </w:r>
          </w:p>
        </w:tc>
        <w:tc>
          <w:tcPr>
            <w:tcW w:type="dxa" w:w="1710"/>
            <w:shd w:fill="F2F2F2" w:val="clear"/>
            <w:tcBorders>
              <w:bottom w:val="single" w:sz="4" w:space="0" w:color="000000"/>
            </w:tcBorders>
          </w:tcPr>
          <w:p>
            <w:pPr>
              <w:jc w:val="center"/>
            </w:pPr>
            <w:r>
              <w:rPr>
                <w:rFonts w:ascii="Times New Roman" w:hAnsi="Times New Roman"/>
                <w:b/>
                <w:sz w:val="18"/>
              </w:rPr>
              <w:t>Current Status</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Screening</w:t>
            </w:r>
          </w:p>
        </w:tc>
        <w:tc>
          <w:tcPr>
            <w:tcW w:type="dxa" w:w="1710"/>
          </w:tcPr>
          <w:p>
            <w:pPr>
              <w:spacing w:before="20" w:after="20" w:line="240" w:lineRule="exact"/>
              <w:jc w:val="center"/>
            </w:pPr>
            <w:r>
              <w:rPr>
                <w:rFonts w:ascii="Times New Roman" w:hAnsi="Times New Roman"/>
                <w:b w:val="0"/>
                <w:sz w:val="16"/>
              </w:rPr>
              <w:t>Cardiovascular</w:t>
            </w:r>
          </w:p>
        </w:tc>
        <w:tc>
          <w:tcPr>
            <w:tcW w:type="dxa" w:w="1710"/>
          </w:tcPr>
          <w:p>
            <w:pPr>
              <w:spacing w:before="20" w:after="20" w:line="240" w:lineRule="exact"/>
              <w:jc w:val="center"/>
            </w:pPr>
            <w:r>
              <w:rPr>
                <w:rFonts w:ascii="Times New Roman" w:hAnsi="Times New Roman"/>
                <w:b w:val="0"/>
                <w:sz w:val="16"/>
              </w:rPr>
              <w:t>Murmur Grade II/VI</w:t>
            </w:r>
          </w:p>
        </w:tc>
        <w:tc>
          <w:tcPr>
            <w:tcW w:type="dxa" w:w="1710"/>
          </w:tcPr>
          <w:p>
            <w:pPr>
              <w:spacing w:before="20" w:after="20" w:line="240" w:lineRule="exact"/>
              <w:jc w:val="center"/>
            </w:pPr>
            <w:r>
              <w:rPr>
                <w:rFonts w:ascii="Times New Roman" w:hAnsi="Times New Roman"/>
                <w:b w:val="0"/>
                <w:sz w:val="16"/>
              </w:rPr>
              <w:t>N/A</w:t>
            </w:r>
          </w:p>
        </w:tc>
        <w:tc>
          <w:tcPr>
            <w:tcW w:type="dxa" w:w="1710"/>
          </w:tcPr>
          <w:p>
            <w:pPr>
              <w:spacing w:before="20" w:after="20" w:line="240" w:lineRule="exact"/>
              <w:jc w:val="center"/>
            </w:pPr>
            <w:r>
              <w:rPr>
                <w:rFonts w:ascii="Times New Roman" w:hAnsi="Times New Roman"/>
                <w:b w:val="0"/>
                <w:sz w:val="16"/>
              </w:rPr>
              <w:t>Abnormal NCS</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EOT</w:t>
            </w:r>
          </w:p>
        </w:tc>
        <w:tc>
          <w:tcPr>
            <w:tcW w:type="dxa" w:w="1710"/>
          </w:tcPr>
          <w:p>
            <w:pPr>
              <w:spacing w:before="20" w:after="20" w:line="240" w:lineRule="exact"/>
              <w:jc w:val="center"/>
            </w:pPr>
            <w:r>
              <w:rPr>
                <w:rFonts w:ascii="Times New Roman" w:hAnsi="Times New Roman"/>
                <w:b w:val="0"/>
                <w:sz w:val="16"/>
              </w:rPr>
              <w:t>Respiratory</w:t>
            </w:r>
          </w:p>
        </w:tc>
        <w:tc>
          <w:tcPr>
            <w:tcW w:type="dxa" w:w="1710"/>
          </w:tcPr>
          <w:p>
            <w:pPr>
              <w:spacing w:before="20" w:after="20" w:line="240" w:lineRule="exact"/>
              <w:jc w:val="center"/>
            </w:pPr>
            <w:r>
              <w:rPr>
                <w:rFonts w:ascii="Times New Roman" w:hAnsi="Times New Roman"/>
                <w:b w:val="0"/>
                <w:sz w:val="16"/>
              </w:rPr>
              <w:t>Crackles left base</w:t>
            </w:r>
          </w:p>
        </w:tc>
        <w:tc>
          <w:tcPr>
            <w:tcW w:type="dxa" w:w="1710"/>
          </w:tcPr>
          <w:p>
            <w:pPr>
              <w:spacing w:before="20" w:after="20" w:line="240" w:lineRule="exact"/>
              <w:jc w:val="center"/>
            </w:pPr>
            <w:r>
              <w:rPr>
                <w:rFonts w:ascii="Times New Roman" w:hAnsi="Times New Roman"/>
                <w:b w:val="0"/>
                <w:sz w:val="16"/>
              </w:rPr>
              <w:t>Normal</w:t>
            </w:r>
          </w:p>
        </w:tc>
        <w:tc>
          <w:tcPr>
            <w:tcW w:type="dxa" w:w="1710"/>
          </w:tcPr>
          <w:p>
            <w:pPr>
              <w:spacing w:before="20" w:after="20" w:line="240" w:lineRule="exact"/>
              <w:jc w:val="center"/>
            </w:pPr>
            <w:r>
              <w:rPr>
                <w:rFonts w:ascii="Times New Roman" w:hAnsi="Times New Roman"/>
                <w:b w:val="0"/>
                <w:sz w:val="16"/>
              </w:rPr>
              <w:t>Abnormal CS</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NCS = Not Clinically Significant. CS = Clinically Significant. Refer to T14.3.4.15-T14.3.4.16.</w:t>
      </w:r>
    </w:p>
    <w:p>
      <w:pPr>
        <w:spacing w:before="0" w:after="0"/>
      </w:pPr>
      <w:r>
        <w:rPr>
          <w:rFonts w:ascii="Times New Roman" w:hAnsi="Times New Roman"/>
          <w:i/>
          <w:sz w:val="16"/>
        </w:rPr>
        <w:t>[2] Dataset: ADSL, ADPE. Program: l_pe.sas.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16.2.25  Listing of Urinalysis Results — Dipstick and Microscopic</w:t>
      </w:r>
      <w:r>
        <w:bookmarkStart w:id="0" w:name="L16.2.25"/>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368"/>
        <w:gridCol w:w="1368"/>
        <w:gridCol w:w="1368"/>
        <w:gridCol w:w="1368"/>
        <w:gridCol w:w="1368"/>
        <w:gridCol w:w="1368"/>
        <w:gridCol w:w="1368"/>
        <w:gridCol w:w="1368"/>
        <w:gridCol w:w="1368"/>
        <w:gridCol w:w="1368"/>
      </w:tblGrid>
      <w:tr>
        <w:trPr>
          <w:tblHeader w:val="true"/>
        </w:trPr>
        <w:tc>
          <w:tcPr>
            <w:tcW w:type="dxa" w:w="1368"/>
            <w:shd w:fill="F2F2F2" w:val="clear"/>
            <w:tcBorders>
              <w:bottom w:val="single" w:sz="4" w:space="0" w:color="000000"/>
            </w:tcBorders>
          </w:tcPr>
          <w:p>
            <w:pPr>
              <w:jc w:val="left"/>
            </w:pPr>
            <w:r>
              <w:rPr>
                <w:rFonts w:ascii="Times New Roman" w:hAnsi="Times New Roman"/>
                <w:b/>
                <w:sz w:val="18"/>
              </w:rPr>
              <w:t>Site</w:t>
            </w:r>
          </w:p>
        </w:tc>
        <w:tc>
          <w:tcPr>
            <w:tcW w:type="dxa" w:w="1368"/>
            <w:shd w:fill="F2F2F2" w:val="clear"/>
            <w:tcBorders>
              <w:bottom w:val="single" w:sz="4" w:space="0" w:color="000000"/>
            </w:tcBorders>
          </w:tcPr>
          <w:p>
            <w:pPr>
              <w:jc w:val="center"/>
            </w:pPr>
            <w:r>
              <w:rPr>
                <w:rFonts w:ascii="Times New Roman" w:hAnsi="Times New Roman"/>
                <w:b/>
                <w:sz w:val="18"/>
              </w:rPr>
              <w:t>Subject</w:t>
            </w:r>
          </w:p>
        </w:tc>
        <w:tc>
          <w:tcPr>
            <w:tcW w:type="dxa" w:w="1368"/>
            <w:shd w:fill="F2F2F2" w:val="clear"/>
            <w:tcBorders>
              <w:bottom w:val="single" w:sz="4" w:space="0" w:color="000000"/>
            </w:tcBorders>
          </w:tcPr>
          <w:p>
            <w:pPr>
              <w:jc w:val="center"/>
            </w:pPr>
            <w:r>
              <w:rPr>
                <w:rFonts w:ascii="Times New Roman" w:hAnsi="Times New Roman"/>
                <w:b/>
                <w:sz w:val="18"/>
              </w:rPr>
              <w:t>Group</w:t>
            </w:r>
          </w:p>
        </w:tc>
        <w:tc>
          <w:tcPr>
            <w:tcW w:type="dxa" w:w="1368"/>
            <w:shd w:fill="F2F2F2" w:val="clear"/>
            <w:tcBorders>
              <w:bottom w:val="single" w:sz="4" w:space="0" w:color="000000"/>
            </w:tcBorders>
          </w:tcPr>
          <w:p>
            <w:pPr>
              <w:jc w:val="center"/>
            </w:pPr>
            <w:r>
              <w:rPr>
                <w:rFonts w:ascii="Times New Roman" w:hAnsi="Times New Roman"/>
                <w:b/>
                <w:sz w:val="18"/>
              </w:rPr>
              <w:t>Visit</w:t>
            </w:r>
          </w:p>
        </w:tc>
        <w:tc>
          <w:tcPr>
            <w:tcW w:type="dxa" w:w="1368"/>
            <w:shd w:fill="F2F2F2" w:val="clear"/>
            <w:tcBorders>
              <w:bottom w:val="single" w:sz="4" w:space="0" w:color="000000"/>
            </w:tcBorders>
          </w:tcPr>
          <w:p>
            <w:pPr>
              <w:jc w:val="center"/>
            </w:pPr>
            <w:r>
              <w:rPr>
                <w:rFonts w:ascii="Times New Roman" w:hAnsi="Times New Roman"/>
                <w:b/>
                <w:sz w:val="18"/>
              </w:rPr>
              <w:t>pH</w:t>
            </w:r>
          </w:p>
        </w:tc>
        <w:tc>
          <w:tcPr>
            <w:tcW w:type="dxa" w:w="1368"/>
            <w:shd w:fill="F2F2F2" w:val="clear"/>
            <w:tcBorders>
              <w:bottom w:val="single" w:sz="4" w:space="0" w:color="000000"/>
            </w:tcBorders>
          </w:tcPr>
          <w:p>
            <w:pPr>
              <w:jc w:val="center"/>
            </w:pPr>
            <w:r>
              <w:rPr>
                <w:rFonts w:ascii="Times New Roman" w:hAnsi="Times New Roman"/>
                <w:b/>
                <w:sz w:val="18"/>
              </w:rPr>
              <w:t>Protein</w:t>
            </w:r>
          </w:p>
        </w:tc>
        <w:tc>
          <w:tcPr>
            <w:tcW w:type="dxa" w:w="1368"/>
            <w:shd w:fill="F2F2F2" w:val="clear"/>
            <w:tcBorders>
              <w:bottom w:val="single" w:sz="4" w:space="0" w:color="000000"/>
            </w:tcBorders>
          </w:tcPr>
          <w:p>
            <w:pPr>
              <w:jc w:val="center"/>
            </w:pPr>
            <w:r>
              <w:rPr>
                <w:rFonts w:ascii="Times New Roman" w:hAnsi="Times New Roman"/>
                <w:b/>
                <w:sz w:val="18"/>
              </w:rPr>
              <w:t>Glucose</w:t>
            </w:r>
          </w:p>
        </w:tc>
        <w:tc>
          <w:tcPr>
            <w:tcW w:type="dxa" w:w="1368"/>
            <w:shd w:fill="F2F2F2" w:val="clear"/>
            <w:tcBorders>
              <w:bottom w:val="single" w:sz="4" w:space="0" w:color="000000"/>
            </w:tcBorders>
          </w:tcPr>
          <w:p>
            <w:pPr>
              <w:jc w:val="center"/>
            </w:pPr>
            <w:r>
              <w:rPr>
                <w:rFonts w:ascii="Times New Roman" w:hAnsi="Times New Roman"/>
                <w:b/>
                <w:sz w:val="18"/>
              </w:rPr>
              <w:t>Blood</w:t>
            </w:r>
          </w:p>
        </w:tc>
        <w:tc>
          <w:tcPr>
            <w:tcW w:type="dxa" w:w="1368"/>
            <w:shd w:fill="F2F2F2" w:val="clear"/>
            <w:tcBorders>
              <w:bottom w:val="single" w:sz="4" w:space="0" w:color="000000"/>
            </w:tcBorders>
          </w:tcPr>
          <w:p>
            <w:pPr>
              <w:jc w:val="center"/>
            </w:pPr>
            <w:r>
              <w:rPr>
                <w:rFonts w:ascii="Times New Roman" w:hAnsi="Times New Roman"/>
                <w:b/>
                <w:sz w:val="18"/>
              </w:rPr>
              <w:t>Ketones</w:t>
            </w:r>
          </w:p>
        </w:tc>
        <w:tc>
          <w:tcPr>
            <w:tcW w:type="dxa" w:w="1368"/>
            <w:shd w:fill="F2F2F2" w:val="clear"/>
            <w:tcBorders>
              <w:bottom w:val="single" w:sz="4" w:space="0" w:color="000000"/>
            </w:tcBorders>
          </w:tcPr>
          <w:p>
            <w:pPr>
              <w:jc w:val="center"/>
            </w:pPr>
            <w:r>
              <w:rPr>
                <w:rFonts w:ascii="Times New Roman" w:hAnsi="Times New Roman"/>
                <w:b/>
                <w:sz w:val="18"/>
              </w:rPr>
              <w:t>Microscopic Findings</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Baseline</w:t>
            </w:r>
          </w:p>
        </w:tc>
        <w:tc>
          <w:tcPr>
            <w:tcW w:type="dxa" w:w="1368"/>
          </w:tcPr>
          <w:p>
            <w:pPr>
              <w:spacing w:before="20" w:after="20" w:line="240" w:lineRule="exact"/>
              <w:jc w:val="center"/>
            </w:pPr>
            <w:r>
              <w:rPr>
                <w:rFonts w:ascii="Times New Roman" w:hAnsi="Times New Roman"/>
                <w:b w:val="0"/>
                <w:sz w:val="16"/>
              </w:rPr>
              <w:t>6.0</w:t>
            </w:r>
          </w:p>
        </w:tc>
        <w:tc>
          <w:tcPr>
            <w:tcW w:type="dxa" w:w="1368"/>
          </w:tcPr>
          <w:p>
            <w:pPr>
              <w:spacing w:before="20" w:after="20" w:line="240" w:lineRule="exact"/>
              <w:jc w:val="center"/>
            </w:pPr>
            <w:r>
              <w:rPr>
                <w:rFonts w:ascii="Times New Roman" w:hAnsi="Times New Roman"/>
                <w:b w:val="0"/>
                <w:sz w:val="16"/>
              </w:rPr>
              <w:t>Neg</w:t>
            </w:r>
          </w:p>
        </w:tc>
        <w:tc>
          <w:tcPr>
            <w:tcW w:type="dxa" w:w="1368"/>
          </w:tcPr>
          <w:p>
            <w:pPr>
              <w:spacing w:before="20" w:after="20" w:line="240" w:lineRule="exact"/>
              <w:jc w:val="center"/>
            </w:pPr>
            <w:r>
              <w:rPr>
                <w:rFonts w:ascii="Times New Roman" w:hAnsi="Times New Roman"/>
                <w:b w:val="0"/>
                <w:sz w:val="16"/>
              </w:rPr>
              <w:t>Neg</w:t>
            </w:r>
          </w:p>
        </w:tc>
        <w:tc>
          <w:tcPr>
            <w:tcW w:type="dxa" w:w="1368"/>
          </w:tcPr>
          <w:p>
            <w:pPr>
              <w:spacing w:before="20" w:after="20" w:line="240" w:lineRule="exact"/>
              <w:jc w:val="center"/>
            </w:pPr>
            <w:r>
              <w:rPr>
                <w:rFonts w:ascii="Times New Roman" w:hAnsi="Times New Roman"/>
                <w:b w:val="0"/>
                <w:sz w:val="16"/>
              </w:rPr>
              <w:t>Neg</w:t>
            </w:r>
          </w:p>
        </w:tc>
        <w:tc>
          <w:tcPr>
            <w:tcW w:type="dxa" w:w="1368"/>
          </w:tcPr>
          <w:p>
            <w:pPr>
              <w:spacing w:before="20" w:after="20" w:line="240" w:lineRule="exact"/>
              <w:jc w:val="center"/>
            </w:pPr>
            <w:r>
              <w:rPr>
                <w:rFonts w:ascii="Times New Roman" w:hAnsi="Times New Roman"/>
                <w:b w:val="0"/>
                <w:sz w:val="16"/>
              </w:rPr>
              <w:t>Neg</w:t>
            </w:r>
          </w:p>
        </w:tc>
        <w:tc>
          <w:tcPr>
            <w:tcW w:type="dxa" w:w="1368"/>
          </w:tcPr>
          <w:p>
            <w:pPr>
              <w:spacing w:before="20" w:after="20" w:line="240" w:lineRule="exact"/>
              <w:jc w:val="center"/>
            </w:pPr>
            <w:r>
              <w:rPr>
                <w:rFonts w:ascii="Times New Roman" w:hAnsi="Times New Roman"/>
                <w:b w:val="0"/>
                <w:sz w:val="16"/>
              </w:rPr>
              <w:t>No casts/crystals</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Wk 12</w:t>
            </w:r>
          </w:p>
        </w:tc>
        <w:tc>
          <w:tcPr>
            <w:tcW w:type="dxa" w:w="1368"/>
          </w:tcPr>
          <w:p>
            <w:pPr>
              <w:spacing w:before="20" w:after="20" w:line="240" w:lineRule="exact"/>
              <w:jc w:val="center"/>
            </w:pPr>
            <w:r>
              <w:rPr>
                <w:rFonts w:ascii="Times New Roman" w:hAnsi="Times New Roman"/>
                <w:b w:val="0"/>
                <w:sz w:val="16"/>
              </w:rPr>
              <w:t>7.5</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Neg</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Neg</w:t>
            </w:r>
          </w:p>
        </w:tc>
        <w:tc>
          <w:tcPr>
            <w:tcW w:type="dxa" w:w="1368"/>
          </w:tcPr>
          <w:p>
            <w:pPr>
              <w:spacing w:before="20" w:after="20" w:line="240" w:lineRule="exact"/>
              <w:jc w:val="center"/>
            </w:pPr>
            <w:r>
              <w:rPr>
                <w:rFonts w:ascii="Times New Roman" w:hAnsi="Times New Roman"/>
                <w:b w:val="0"/>
                <w:sz w:val="16"/>
              </w:rPr>
              <w:t>Hyaline casts: 2-5/LPF</w:t>
            </w:r>
          </w:p>
        </w:tc>
      </w:tr>
      <w:tr>
        <w:tc>
          <w:tcPr>
            <w:tcW w:type="dxa" w:w="1368"/>
          </w:tcPr>
          <w:p>
            <w:pPr>
              <w:spacing w:before="20" w:after="20" w:line="240" w:lineRule="exact"/>
              <w:jc w:val="left"/>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Dipstick: Neg/Trace/+/++/+++. LPF = Low Power Field. Refer to T14.3.3.14.</w:t>
      </w:r>
    </w:p>
    <w:p>
      <w:pPr>
        <w:spacing w:before="0" w:after="0"/>
      </w:pPr>
      <w:r>
        <w:rPr>
          <w:rFonts w:ascii="Times New Roman" w:hAnsi="Times New Roman"/>
          <w:i/>
          <w:sz w:val="16"/>
        </w:rPr>
        <w:t>[2] Dataset: ADSL, ADLB. Program: l_ua.sas.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16.2.26  Listing of Coagulation Panel Results</w:t>
      </w:r>
      <w:r>
        <w:bookmarkStart w:id="0" w:name="L16.2.26"/>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368"/>
        <w:gridCol w:w="1368"/>
        <w:gridCol w:w="1368"/>
        <w:gridCol w:w="1368"/>
        <w:gridCol w:w="1368"/>
        <w:gridCol w:w="1368"/>
        <w:gridCol w:w="1368"/>
        <w:gridCol w:w="1368"/>
        <w:gridCol w:w="1368"/>
        <w:gridCol w:w="1368"/>
      </w:tblGrid>
      <w:tr>
        <w:trPr>
          <w:tblHeader w:val="true"/>
        </w:trPr>
        <w:tc>
          <w:tcPr>
            <w:tcW w:type="dxa" w:w="1368"/>
            <w:shd w:fill="F2F2F2" w:val="clear"/>
            <w:tcBorders>
              <w:bottom w:val="single" w:sz="4" w:space="0" w:color="000000"/>
            </w:tcBorders>
          </w:tcPr>
          <w:p>
            <w:pPr>
              <w:jc w:val="left"/>
            </w:pPr>
            <w:r>
              <w:rPr>
                <w:rFonts w:ascii="Times New Roman" w:hAnsi="Times New Roman"/>
                <w:b/>
                <w:sz w:val="18"/>
              </w:rPr>
              <w:t>Site</w:t>
            </w:r>
          </w:p>
        </w:tc>
        <w:tc>
          <w:tcPr>
            <w:tcW w:type="dxa" w:w="1368"/>
            <w:shd w:fill="F2F2F2" w:val="clear"/>
            <w:tcBorders>
              <w:bottom w:val="single" w:sz="4" w:space="0" w:color="000000"/>
            </w:tcBorders>
          </w:tcPr>
          <w:p>
            <w:pPr>
              <w:jc w:val="center"/>
            </w:pPr>
            <w:r>
              <w:rPr>
                <w:rFonts w:ascii="Times New Roman" w:hAnsi="Times New Roman"/>
                <w:b/>
                <w:sz w:val="18"/>
              </w:rPr>
              <w:t>Subject</w:t>
            </w:r>
          </w:p>
        </w:tc>
        <w:tc>
          <w:tcPr>
            <w:tcW w:type="dxa" w:w="1368"/>
            <w:shd w:fill="F2F2F2" w:val="clear"/>
            <w:tcBorders>
              <w:bottom w:val="single" w:sz="4" w:space="0" w:color="000000"/>
            </w:tcBorders>
          </w:tcPr>
          <w:p>
            <w:pPr>
              <w:jc w:val="center"/>
            </w:pPr>
            <w:r>
              <w:rPr>
                <w:rFonts w:ascii="Times New Roman" w:hAnsi="Times New Roman"/>
                <w:b/>
                <w:sz w:val="18"/>
              </w:rPr>
              <w:t>Group</w:t>
            </w:r>
          </w:p>
        </w:tc>
        <w:tc>
          <w:tcPr>
            <w:tcW w:type="dxa" w:w="1368"/>
            <w:shd w:fill="F2F2F2" w:val="clear"/>
            <w:tcBorders>
              <w:bottom w:val="single" w:sz="4" w:space="0" w:color="000000"/>
            </w:tcBorders>
          </w:tcPr>
          <w:p>
            <w:pPr>
              <w:jc w:val="center"/>
            </w:pPr>
            <w:r>
              <w:rPr>
                <w:rFonts w:ascii="Times New Roman" w:hAnsi="Times New Roman"/>
                <w:b/>
                <w:sz w:val="18"/>
              </w:rPr>
              <w:t>Visit</w:t>
            </w:r>
          </w:p>
        </w:tc>
        <w:tc>
          <w:tcPr>
            <w:tcW w:type="dxa" w:w="1368"/>
            <w:shd w:fill="F2F2F2" w:val="clear"/>
            <w:tcBorders>
              <w:bottom w:val="single" w:sz="4" w:space="0" w:color="000000"/>
            </w:tcBorders>
          </w:tcPr>
          <w:p>
            <w:pPr>
              <w:jc w:val="center"/>
            </w:pPr>
            <w:r>
              <w:rPr>
                <w:rFonts w:ascii="Times New Roman" w:hAnsi="Times New Roman"/>
                <w:b/>
                <w:sz w:val="18"/>
              </w:rPr>
              <w:t>PT (s)</w:t>
            </w:r>
          </w:p>
        </w:tc>
        <w:tc>
          <w:tcPr>
            <w:tcW w:type="dxa" w:w="1368"/>
            <w:shd w:fill="F2F2F2" w:val="clear"/>
            <w:tcBorders>
              <w:bottom w:val="single" w:sz="4" w:space="0" w:color="000000"/>
            </w:tcBorders>
          </w:tcPr>
          <w:p>
            <w:pPr>
              <w:jc w:val="center"/>
            </w:pPr>
            <w:r>
              <w:rPr>
                <w:rFonts w:ascii="Times New Roman" w:hAnsi="Times New Roman"/>
                <w:b/>
                <w:sz w:val="18"/>
              </w:rPr>
              <w:t>PT Ref Range</w:t>
            </w:r>
          </w:p>
        </w:tc>
        <w:tc>
          <w:tcPr>
            <w:tcW w:type="dxa" w:w="1368"/>
            <w:shd w:fill="F2F2F2" w:val="clear"/>
            <w:tcBorders>
              <w:bottom w:val="single" w:sz="4" w:space="0" w:color="000000"/>
            </w:tcBorders>
          </w:tcPr>
          <w:p>
            <w:pPr>
              <w:jc w:val="center"/>
            </w:pPr>
            <w:r>
              <w:rPr>
                <w:rFonts w:ascii="Times New Roman" w:hAnsi="Times New Roman"/>
                <w:b/>
                <w:sz w:val="18"/>
              </w:rPr>
              <w:t>INR</w:t>
            </w:r>
          </w:p>
        </w:tc>
        <w:tc>
          <w:tcPr>
            <w:tcW w:type="dxa" w:w="1368"/>
            <w:shd w:fill="F2F2F2" w:val="clear"/>
            <w:tcBorders>
              <w:bottom w:val="single" w:sz="4" w:space="0" w:color="000000"/>
            </w:tcBorders>
          </w:tcPr>
          <w:p>
            <w:pPr>
              <w:jc w:val="center"/>
            </w:pPr>
            <w:r>
              <w:rPr>
                <w:rFonts w:ascii="Times New Roman" w:hAnsi="Times New Roman"/>
                <w:b/>
                <w:sz w:val="18"/>
              </w:rPr>
              <w:t>aPTT (s)</w:t>
            </w:r>
          </w:p>
        </w:tc>
        <w:tc>
          <w:tcPr>
            <w:tcW w:type="dxa" w:w="1368"/>
            <w:shd w:fill="F2F2F2" w:val="clear"/>
            <w:tcBorders>
              <w:bottom w:val="single" w:sz="4" w:space="0" w:color="000000"/>
            </w:tcBorders>
          </w:tcPr>
          <w:p>
            <w:pPr>
              <w:jc w:val="center"/>
            </w:pPr>
            <w:r>
              <w:rPr>
                <w:rFonts w:ascii="Times New Roman" w:hAnsi="Times New Roman"/>
                <w:b/>
                <w:sz w:val="18"/>
              </w:rPr>
              <w:t>aPTT Ref Range</w:t>
            </w:r>
          </w:p>
        </w:tc>
        <w:tc>
          <w:tcPr>
            <w:tcW w:type="dxa" w:w="1368"/>
            <w:shd w:fill="F2F2F2" w:val="clear"/>
            <w:tcBorders>
              <w:bottom w:val="single" w:sz="4" w:space="0" w:color="000000"/>
            </w:tcBorders>
          </w:tcPr>
          <w:p>
            <w:pPr>
              <w:jc w:val="center"/>
            </w:pPr>
            <w:r>
              <w:rPr>
                <w:rFonts w:ascii="Times New Roman" w:hAnsi="Times New Roman"/>
                <w:b/>
                <w:sz w:val="18"/>
              </w:rPr>
              <w:t>Flag</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Baseline</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w:t>
            </w:r>
          </w:p>
        </w:tc>
        <w:tc>
          <w:tcPr>
            <w:tcW w:type="dxa" w:w="1368"/>
          </w:tcPr>
          <w:p>
            <w:pPr>
              <w:spacing w:before="20" w:after="20" w:line="240" w:lineRule="exact"/>
              <w:jc w:val="center"/>
            </w:pPr>
            <w:r>
              <w:rPr>
                <w:rFonts w:ascii="Times New Roman" w:hAnsi="Times New Roman"/>
                <w:b w:val="0"/>
                <w:sz w:val="16"/>
              </w:rPr>
              <w:t>N</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Wk 4</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w:t>
            </w:r>
          </w:p>
        </w:tc>
        <w:tc>
          <w:tcPr>
            <w:tcW w:type="dxa" w:w="1368"/>
          </w:tcPr>
          <w:p>
            <w:pPr>
              <w:spacing w:before="20" w:after="20" w:line="240" w:lineRule="exact"/>
              <w:jc w:val="center"/>
            </w:pPr>
            <w:r>
              <w:rPr>
                <w:rFonts w:ascii="Times New Roman" w:hAnsi="Times New Roman"/>
                <w:b w:val="0"/>
                <w:sz w:val="16"/>
              </w:rPr>
              <w:t>H</w:t>
            </w:r>
          </w:p>
        </w:tc>
      </w:tr>
      <w:tr>
        <w:tc>
          <w:tcPr>
            <w:tcW w:type="dxa" w:w="1368"/>
          </w:tcPr>
          <w:p>
            <w:pPr>
              <w:spacing w:before="20" w:after="20" w:line="240" w:lineRule="exact"/>
              <w:jc w:val="left"/>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Flag: L=Below, N=Within, H=Above reference range. Refer to T14.3.3.12-T14.3.3.13.</w:t>
      </w:r>
    </w:p>
    <w:p>
      <w:pPr>
        <w:spacing w:before="0" w:after="0"/>
      </w:pPr>
      <w:r>
        <w:rPr>
          <w:rFonts w:ascii="Times New Roman" w:hAnsi="Times New Roman"/>
          <w:i/>
          <w:sz w:val="16"/>
        </w:rPr>
        <w:t>[2] Dataset: ADSL, ADLB. Program: l_coag.sas.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16.2.27  Listing of Cardiac Biomarkers and Immunoglobulins</w:t>
      </w:r>
      <w:r>
        <w:bookmarkStart w:id="0" w:name="L16.2.27"/>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Visit</w:t>
            </w:r>
          </w:p>
        </w:tc>
        <w:tc>
          <w:tcPr>
            <w:tcW w:type="dxa" w:w="1520"/>
            <w:shd w:fill="F2F2F2" w:val="clear"/>
            <w:tcBorders>
              <w:bottom w:val="single" w:sz="4" w:space="0" w:color="000000"/>
            </w:tcBorders>
          </w:tcPr>
          <w:p>
            <w:pPr>
              <w:jc w:val="center"/>
            </w:pPr>
            <w:r>
              <w:rPr>
                <w:rFonts w:ascii="Times New Roman" w:hAnsi="Times New Roman"/>
                <w:b/>
                <w:sz w:val="18"/>
              </w:rPr>
              <w:t>hs-Troponin I (ng/L)</w:t>
            </w:r>
          </w:p>
        </w:tc>
        <w:tc>
          <w:tcPr>
            <w:tcW w:type="dxa" w:w="1520"/>
            <w:shd w:fill="F2F2F2" w:val="clear"/>
            <w:tcBorders>
              <w:bottom w:val="single" w:sz="4" w:space="0" w:color="000000"/>
            </w:tcBorders>
          </w:tcPr>
          <w:p>
            <w:pPr>
              <w:jc w:val="center"/>
            </w:pPr>
            <w:r>
              <w:rPr>
                <w:rFonts w:ascii="Times New Roman" w:hAnsi="Times New Roman"/>
                <w:b/>
                <w:sz w:val="18"/>
              </w:rPr>
              <w:t>CK-MB (ng/mL)</w:t>
            </w:r>
          </w:p>
        </w:tc>
        <w:tc>
          <w:tcPr>
            <w:tcW w:type="dxa" w:w="1520"/>
            <w:shd w:fill="F2F2F2" w:val="clear"/>
            <w:tcBorders>
              <w:bottom w:val="single" w:sz="4" w:space="0" w:color="000000"/>
            </w:tcBorders>
          </w:tcPr>
          <w:p>
            <w:pPr>
              <w:jc w:val="center"/>
            </w:pPr>
            <w:r>
              <w:rPr>
                <w:rFonts w:ascii="Times New Roman" w:hAnsi="Times New Roman"/>
                <w:b/>
                <w:sz w:val="18"/>
              </w:rPr>
              <w:t>NT-proBNP (pg/mL)</w:t>
            </w:r>
          </w:p>
        </w:tc>
        <w:tc>
          <w:tcPr>
            <w:tcW w:type="dxa" w:w="1520"/>
            <w:shd w:fill="F2F2F2" w:val="clear"/>
            <w:tcBorders>
              <w:bottom w:val="single" w:sz="4" w:space="0" w:color="000000"/>
            </w:tcBorders>
          </w:tcPr>
          <w:p>
            <w:pPr>
              <w:jc w:val="center"/>
            </w:pPr>
            <w:r>
              <w:rPr>
                <w:rFonts w:ascii="Times New Roman" w:hAnsi="Times New Roman"/>
                <w:b/>
                <w:sz w:val="18"/>
              </w:rPr>
              <w:t>IgG (g/L)</w:t>
            </w:r>
          </w:p>
        </w:tc>
        <w:tc>
          <w:tcPr>
            <w:tcW w:type="dxa" w:w="1520"/>
            <w:shd w:fill="F2F2F2" w:val="clear"/>
            <w:tcBorders>
              <w:bottom w:val="single" w:sz="4" w:space="0" w:color="000000"/>
            </w:tcBorders>
          </w:tcPr>
          <w:p>
            <w:pPr>
              <w:jc w:val="center"/>
            </w:pPr>
            <w:r>
              <w:rPr>
                <w:rFonts w:ascii="Times New Roman" w:hAnsi="Times New Roman"/>
                <w:b/>
                <w:sz w:val="18"/>
              </w:rPr>
              <w:t>IgM (g/L)</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Baseline</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Wk 12</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Refer to T14.3.3.19 and T14.3.3.21 for summary tables.</w:t>
      </w:r>
    </w:p>
    <w:p>
      <w:pPr>
        <w:spacing w:before="0" w:after="0"/>
      </w:pPr>
      <w:r>
        <w:rPr>
          <w:rFonts w:ascii="Times New Roman" w:hAnsi="Times New Roman"/>
          <w:i/>
          <w:sz w:val="16"/>
        </w:rPr>
        <w:t>[2] Dataset: ADSL, ADLB. Program: l_cardiac_bio.sas.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16.2.28  Listing of Lymphocyte Subsets and Cytokine Panel</w:t>
      </w:r>
      <w:r>
        <w:bookmarkStart w:id="0" w:name="L16.2.28"/>
        <w:bookmarkEnd w:id="0"/>
      </w:r>
    </w:p>
    <w:p>
      <w:pPr>
        <w:keepNext/>
        <w:spacing w:before="40" w:after="160"/>
      </w:pPr>
      <w:r>
        <w:rPr>
          <w:rFonts w:ascii="Times New Roman" w:hAnsi="Times New Roman"/>
          <w:i/>
          <w:sz w:val="18"/>
        </w:rPr>
        <w:t>Analysis Set: Safety Population (Subset with Immunophenotyping)</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368"/>
        <w:gridCol w:w="1368"/>
        <w:gridCol w:w="1368"/>
        <w:gridCol w:w="1368"/>
        <w:gridCol w:w="1368"/>
        <w:gridCol w:w="1368"/>
        <w:gridCol w:w="1368"/>
        <w:gridCol w:w="1368"/>
        <w:gridCol w:w="1368"/>
        <w:gridCol w:w="1368"/>
      </w:tblGrid>
      <w:tr>
        <w:trPr>
          <w:tblHeader w:val="true"/>
        </w:trPr>
        <w:tc>
          <w:tcPr>
            <w:tcW w:type="dxa" w:w="1368"/>
            <w:shd w:fill="F2F2F2" w:val="clear"/>
            <w:tcBorders>
              <w:bottom w:val="single" w:sz="4" w:space="0" w:color="000000"/>
            </w:tcBorders>
          </w:tcPr>
          <w:p>
            <w:pPr>
              <w:jc w:val="left"/>
            </w:pPr>
            <w:r>
              <w:rPr>
                <w:rFonts w:ascii="Times New Roman" w:hAnsi="Times New Roman"/>
                <w:b/>
                <w:sz w:val="18"/>
              </w:rPr>
              <w:t>Site</w:t>
            </w:r>
          </w:p>
        </w:tc>
        <w:tc>
          <w:tcPr>
            <w:tcW w:type="dxa" w:w="1368"/>
            <w:shd w:fill="F2F2F2" w:val="clear"/>
            <w:tcBorders>
              <w:bottom w:val="single" w:sz="4" w:space="0" w:color="000000"/>
            </w:tcBorders>
          </w:tcPr>
          <w:p>
            <w:pPr>
              <w:jc w:val="center"/>
            </w:pPr>
            <w:r>
              <w:rPr>
                <w:rFonts w:ascii="Times New Roman" w:hAnsi="Times New Roman"/>
                <w:b/>
                <w:sz w:val="18"/>
              </w:rPr>
              <w:t>Subject</w:t>
            </w:r>
          </w:p>
        </w:tc>
        <w:tc>
          <w:tcPr>
            <w:tcW w:type="dxa" w:w="1368"/>
            <w:shd w:fill="F2F2F2" w:val="clear"/>
            <w:tcBorders>
              <w:bottom w:val="single" w:sz="4" w:space="0" w:color="000000"/>
            </w:tcBorders>
          </w:tcPr>
          <w:p>
            <w:pPr>
              <w:jc w:val="center"/>
            </w:pPr>
            <w:r>
              <w:rPr>
                <w:rFonts w:ascii="Times New Roman" w:hAnsi="Times New Roman"/>
                <w:b/>
                <w:sz w:val="18"/>
              </w:rPr>
              <w:t>Group</w:t>
            </w:r>
          </w:p>
        </w:tc>
        <w:tc>
          <w:tcPr>
            <w:tcW w:type="dxa" w:w="1368"/>
            <w:shd w:fill="F2F2F2" w:val="clear"/>
            <w:tcBorders>
              <w:bottom w:val="single" w:sz="4" w:space="0" w:color="000000"/>
            </w:tcBorders>
          </w:tcPr>
          <w:p>
            <w:pPr>
              <w:jc w:val="center"/>
            </w:pPr>
            <w:r>
              <w:rPr>
                <w:rFonts w:ascii="Times New Roman" w:hAnsi="Times New Roman"/>
                <w:b/>
                <w:sz w:val="18"/>
              </w:rPr>
              <w:t>Visit</w:t>
            </w:r>
          </w:p>
        </w:tc>
        <w:tc>
          <w:tcPr>
            <w:tcW w:type="dxa" w:w="1368"/>
            <w:shd w:fill="F2F2F2" w:val="clear"/>
            <w:tcBorders>
              <w:bottom w:val="single" w:sz="4" w:space="0" w:color="000000"/>
            </w:tcBorders>
          </w:tcPr>
          <w:p>
            <w:pPr>
              <w:jc w:val="center"/>
            </w:pPr>
            <w:r>
              <w:rPr>
                <w:rFonts w:ascii="Times New Roman" w:hAnsi="Times New Roman"/>
                <w:b/>
                <w:sz w:val="18"/>
              </w:rPr>
              <w:t>CD3 (cells/uL)</w:t>
            </w:r>
          </w:p>
        </w:tc>
        <w:tc>
          <w:tcPr>
            <w:tcW w:type="dxa" w:w="1368"/>
            <w:shd w:fill="F2F2F2" w:val="clear"/>
            <w:tcBorders>
              <w:bottom w:val="single" w:sz="4" w:space="0" w:color="000000"/>
            </w:tcBorders>
          </w:tcPr>
          <w:p>
            <w:pPr>
              <w:jc w:val="center"/>
            </w:pPr>
            <w:r>
              <w:rPr>
                <w:rFonts w:ascii="Times New Roman" w:hAnsi="Times New Roman"/>
                <w:b/>
                <w:sz w:val="18"/>
              </w:rPr>
              <w:t>CD4 (cells/uL)</w:t>
            </w:r>
          </w:p>
        </w:tc>
        <w:tc>
          <w:tcPr>
            <w:tcW w:type="dxa" w:w="1368"/>
            <w:shd w:fill="F2F2F2" w:val="clear"/>
            <w:tcBorders>
              <w:bottom w:val="single" w:sz="4" w:space="0" w:color="000000"/>
            </w:tcBorders>
          </w:tcPr>
          <w:p>
            <w:pPr>
              <w:jc w:val="center"/>
            </w:pPr>
            <w:r>
              <w:rPr>
                <w:rFonts w:ascii="Times New Roman" w:hAnsi="Times New Roman"/>
                <w:b/>
                <w:sz w:val="18"/>
              </w:rPr>
              <w:t>CD8 (cells/uL)</w:t>
            </w:r>
          </w:p>
        </w:tc>
        <w:tc>
          <w:tcPr>
            <w:tcW w:type="dxa" w:w="1368"/>
            <w:shd w:fill="F2F2F2" w:val="clear"/>
            <w:tcBorders>
              <w:bottom w:val="single" w:sz="4" w:space="0" w:color="000000"/>
            </w:tcBorders>
          </w:tcPr>
          <w:p>
            <w:pPr>
              <w:jc w:val="center"/>
            </w:pPr>
            <w:r>
              <w:rPr>
                <w:rFonts w:ascii="Times New Roman" w:hAnsi="Times New Roman"/>
                <w:b/>
                <w:sz w:val="18"/>
              </w:rPr>
              <w:t>CD4/CD8 Ratio</w:t>
            </w:r>
          </w:p>
        </w:tc>
        <w:tc>
          <w:tcPr>
            <w:tcW w:type="dxa" w:w="1368"/>
            <w:shd w:fill="F2F2F2" w:val="clear"/>
            <w:tcBorders>
              <w:bottom w:val="single" w:sz="4" w:space="0" w:color="000000"/>
            </w:tcBorders>
          </w:tcPr>
          <w:p>
            <w:pPr>
              <w:jc w:val="center"/>
            </w:pPr>
            <w:r>
              <w:rPr>
                <w:rFonts w:ascii="Times New Roman" w:hAnsi="Times New Roman"/>
                <w:b/>
                <w:sz w:val="18"/>
              </w:rPr>
              <w:t>CD19 (cells/uL)</w:t>
            </w:r>
          </w:p>
        </w:tc>
        <w:tc>
          <w:tcPr>
            <w:tcW w:type="dxa" w:w="1368"/>
            <w:shd w:fill="F2F2F2" w:val="clear"/>
            <w:tcBorders>
              <w:bottom w:val="single" w:sz="4" w:space="0" w:color="000000"/>
            </w:tcBorders>
          </w:tcPr>
          <w:p>
            <w:pPr>
              <w:jc w:val="center"/>
            </w:pPr>
            <w:r>
              <w:rPr>
                <w:rFonts w:ascii="Times New Roman" w:hAnsi="Times New Roman"/>
                <w:b/>
                <w:sz w:val="18"/>
              </w:rPr>
              <w:t>CD16+56 (cells/uL)</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Baseline</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Cycle 2 D1</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r>
      <w:tr>
        <w:tc>
          <w:tcPr>
            <w:tcW w:type="dxa" w:w="1368"/>
          </w:tcPr>
          <w:p>
            <w:pPr>
              <w:spacing w:before="20" w:after="20" w:line="240" w:lineRule="exact"/>
              <w:jc w:val="left"/>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Flow cytometry. Refer to T14.3.3.22-T14.3.3.23 for summary tables.</w:t>
      </w:r>
    </w:p>
    <w:p>
      <w:pPr>
        <w:spacing w:before="0" w:after="0"/>
      </w:pPr>
      <w:r>
        <w:rPr>
          <w:rFonts w:ascii="Times New Roman" w:hAnsi="Times New Roman"/>
          <w:i/>
          <w:sz w:val="16"/>
        </w:rPr>
        <w:t>[2] Dataset: ADSL, ADLB. Program: l_lymph_cyto.sas.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16.2.29  Listing of Infusion-Related Reactions — Timing and Management Detail</w:t>
      </w:r>
      <w:r>
        <w:bookmarkStart w:id="0" w:name="L16.2.29"/>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244"/>
        <w:gridCol w:w="1244"/>
        <w:gridCol w:w="1244"/>
        <w:gridCol w:w="1244"/>
        <w:gridCol w:w="1244"/>
        <w:gridCol w:w="1244"/>
        <w:gridCol w:w="1244"/>
        <w:gridCol w:w="1244"/>
        <w:gridCol w:w="1244"/>
        <w:gridCol w:w="1244"/>
        <w:gridCol w:w="1244"/>
      </w:tblGrid>
      <w:tr>
        <w:trPr>
          <w:tblHeader w:val="true"/>
        </w:trPr>
        <w:tc>
          <w:tcPr>
            <w:tcW w:type="dxa" w:w="1244"/>
            <w:shd w:fill="F2F2F2" w:val="clear"/>
            <w:tcBorders>
              <w:bottom w:val="single" w:sz="4" w:space="0" w:color="000000"/>
            </w:tcBorders>
          </w:tcPr>
          <w:p>
            <w:pPr>
              <w:jc w:val="left"/>
            </w:pPr>
            <w:r>
              <w:rPr>
                <w:rFonts w:ascii="Times New Roman" w:hAnsi="Times New Roman"/>
                <w:b/>
                <w:sz w:val="18"/>
              </w:rPr>
              <w:t>Site</w:t>
            </w:r>
          </w:p>
        </w:tc>
        <w:tc>
          <w:tcPr>
            <w:tcW w:type="dxa" w:w="1244"/>
            <w:shd w:fill="F2F2F2" w:val="clear"/>
            <w:tcBorders>
              <w:bottom w:val="single" w:sz="4" w:space="0" w:color="000000"/>
            </w:tcBorders>
          </w:tcPr>
          <w:p>
            <w:pPr>
              <w:jc w:val="center"/>
            </w:pPr>
            <w:r>
              <w:rPr>
                <w:rFonts w:ascii="Times New Roman" w:hAnsi="Times New Roman"/>
                <w:b/>
                <w:sz w:val="18"/>
              </w:rPr>
              <w:t>Subject</w:t>
            </w:r>
          </w:p>
        </w:tc>
        <w:tc>
          <w:tcPr>
            <w:tcW w:type="dxa" w:w="1244"/>
            <w:shd w:fill="F2F2F2" w:val="clear"/>
            <w:tcBorders>
              <w:bottom w:val="single" w:sz="4" w:space="0" w:color="000000"/>
            </w:tcBorders>
          </w:tcPr>
          <w:p>
            <w:pPr>
              <w:jc w:val="center"/>
            </w:pPr>
            <w:r>
              <w:rPr>
                <w:rFonts w:ascii="Times New Roman" w:hAnsi="Times New Roman"/>
                <w:b/>
                <w:sz w:val="18"/>
              </w:rPr>
              <w:t>Group</w:t>
            </w:r>
          </w:p>
        </w:tc>
        <w:tc>
          <w:tcPr>
            <w:tcW w:type="dxa" w:w="1244"/>
            <w:shd w:fill="F2F2F2" w:val="clear"/>
            <w:tcBorders>
              <w:bottom w:val="single" w:sz="4" w:space="0" w:color="000000"/>
            </w:tcBorders>
          </w:tcPr>
          <w:p>
            <w:pPr>
              <w:jc w:val="center"/>
            </w:pPr>
            <w:r>
              <w:rPr>
                <w:rFonts w:ascii="Times New Roman" w:hAnsi="Times New Roman"/>
                <w:b/>
                <w:sz w:val="18"/>
              </w:rPr>
              <w:t>Cycle/Infusion</w:t>
            </w:r>
          </w:p>
        </w:tc>
        <w:tc>
          <w:tcPr>
            <w:tcW w:type="dxa" w:w="1244"/>
            <w:shd w:fill="F2F2F2" w:val="clear"/>
            <w:tcBorders>
              <w:bottom w:val="single" w:sz="4" w:space="0" w:color="000000"/>
            </w:tcBorders>
          </w:tcPr>
          <w:p>
            <w:pPr>
              <w:jc w:val="center"/>
            </w:pPr>
            <w:r>
              <w:rPr>
                <w:rFonts w:ascii="Times New Roman" w:hAnsi="Times New Roman"/>
                <w:b/>
                <w:sz w:val="18"/>
              </w:rPr>
              <w:t>IRR PT</w:t>
            </w:r>
          </w:p>
        </w:tc>
        <w:tc>
          <w:tcPr>
            <w:tcW w:type="dxa" w:w="1244"/>
            <w:shd w:fill="F2F2F2" w:val="clear"/>
            <w:tcBorders>
              <w:bottom w:val="single" w:sz="4" w:space="0" w:color="000000"/>
            </w:tcBorders>
          </w:tcPr>
          <w:p>
            <w:pPr>
              <w:jc w:val="center"/>
            </w:pPr>
            <w:r>
              <w:rPr>
                <w:rFonts w:ascii="Times New Roman" w:hAnsi="Times New Roman"/>
                <w:b/>
                <w:sz w:val="18"/>
              </w:rPr>
              <w:t>CTCAE Grade</w:t>
            </w:r>
          </w:p>
        </w:tc>
        <w:tc>
          <w:tcPr>
            <w:tcW w:type="dxa" w:w="1244"/>
            <w:shd w:fill="F2F2F2" w:val="clear"/>
            <w:tcBorders>
              <w:bottom w:val="single" w:sz="4" w:space="0" w:color="000000"/>
            </w:tcBorders>
          </w:tcPr>
          <w:p>
            <w:pPr>
              <w:jc w:val="center"/>
            </w:pPr>
            <w:r>
              <w:rPr>
                <w:rFonts w:ascii="Times New Roman" w:hAnsi="Times New Roman"/>
                <w:b/>
                <w:sz w:val="18"/>
              </w:rPr>
              <w:t>Onset from Start (min)</w:t>
            </w:r>
          </w:p>
        </w:tc>
        <w:tc>
          <w:tcPr>
            <w:tcW w:type="dxa" w:w="1244"/>
            <w:shd w:fill="F2F2F2" w:val="clear"/>
            <w:tcBorders>
              <w:bottom w:val="single" w:sz="4" w:space="0" w:color="000000"/>
            </w:tcBorders>
          </w:tcPr>
          <w:p>
            <w:pPr>
              <w:jc w:val="center"/>
            </w:pPr>
            <w:r>
              <w:rPr>
                <w:rFonts w:ascii="Times New Roman" w:hAnsi="Times New Roman"/>
                <w:b/>
                <w:sz w:val="18"/>
              </w:rPr>
              <w:t>Infusion Rate Change</w:t>
            </w:r>
          </w:p>
        </w:tc>
        <w:tc>
          <w:tcPr>
            <w:tcW w:type="dxa" w:w="1244"/>
            <w:shd w:fill="F2F2F2" w:val="clear"/>
            <w:tcBorders>
              <w:bottom w:val="single" w:sz="4" w:space="0" w:color="000000"/>
            </w:tcBorders>
          </w:tcPr>
          <w:p>
            <w:pPr>
              <w:jc w:val="center"/>
            </w:pPr>
            <w:r>
              <w:rPr>
                <w:rFonts w:ascii="Times New Roman" w:hAnsi="Times New Roman"/>
                <w:b/>
                <w:sz w:val="18"/>
              </w:rPr>
              <w:t>Prophylaxis Given</w:t>
            </w:r>
          </w:p>
        </w:tc>
        <w:tc>
          <w:tcPr>
            <w:tcW w:type="dxa" w:w="1244"/>
            <w:shd w:fill="F2F2F2" w:val="clear"/>
            <w:tcBorders>
              <w:bottom w:val="single" w:sz="4" w:space="0" w:color="000000"/>
            </w:tcBorders>
          </w:tcPr>
          <w:p>
            <w:pPr>
              <w:jc w:val="center"/>
            </w:pPr>
            <w:r>
              <w:rPr>
                <w:rFonts w:ascii="Times New Roman" w:hAnsi="Times New Roman"/>
                <w:b/>
                <w:sz w:val="18"/>
              </w:rPr>
              <w:t>Completed Infusion?</w:t>
            </w:r>
          </w:p>
        </w:tc>
        <w:tc>
          <w:tcPr>
            <w:tcW w:type="dxa" w:w="1244"/>
            <w:shd w:fill="F2F2F2" w:val="clear"/>
            <w:tcBorders>
              <w:bottom w:val="single" w:sz="4" w:space="0" w:color="000000"/>
            </w:tcBorders>
          </w:tcPr>
          <w:p>
            <w:pPr>
              <w:jc w:val="center"/>
            </w:pPr>
            <w:r>
              <w:rPr>
                <w:rFonts w:ascii="Times New Roman" w:hAnsi="Times New Roman"/>
                <w:b/>
                <w:sz w:val="18"/>
              </w:rPr>
              <w:t>Outcome</w:t>
            </w:r>
          </w:p>
        </w:tc>
      </w:tr>
      <w:tr>
        <w:tc>
          <w:tcPr>
            <w:tcW w:type="dxa" w:w="1244"/>
          </w:tcPr>
          <w:p>
            <w:pPr>
              <w:spacing w:before="20" w:after="20" w:line="240" w:lineRule="exact"/>
              <w:jc w:val="left"/>
            </w:pPr>
            <w:r>
              <w:rPr>
                <w:rFonts w:ascii="Times New Roman" w:hAnsi="Times New Roman"/>
                <w:b w:val="0"/>
                <w:sz w:val="16"/>
              </w:rPr>
              <w:t>xxx</w:t>
            </w:r>
          </w:p>
        </w:tc>
        <w:tc>
          <w:tcPr>
            <w:tcW w:type="dxa" w:w="1244"/>
          </w:tcPr>
          <w:p>
            <w:pPr>
              <w:spacing w:before="20" w:after="20" w:line="240" w:lineRule="exact"/>
              <w:jc w:val="center"/>
            </w:pPr>
            <w:r>
              <w:rPr>
                <w:rFonts w:ascii="Times New Roman" w:hAnsi="Times New Roman"/>
                <w:b w:val="0"/>
                <w:sz w:val="16"/>
              </w:rPr>
              <w:t>xxxx/xxx</w:t>
            </w:r>
          </w:p>
        </w:tc>
        <w:tc>
          <w:tcPr>
            <w:tcW w:type="dxa" w:w="1244"/>
          </w:tcPr>
          <w:p>
            <w:pPr>
              <w:spacing w:before="20" w:after="20" w:line="240" w:lineRule="exact"/>
              <w:jc w:val="center"/>
            </w:pPr>
            <w:r>
              <w:rPr>
                <w:rFonts w:ascii="Times New Roman" w:hAnsi="Times New Roman"/>
                <w:b w:val="0"/>
                <w:sz w:val="16"/>
              </w:rPr>
              <w:t>Group</w:t>
            </w:r>
          </w:p>
        </w:tc>
        <w:tc>
          <w:tcPr>
            <w:tcW w:type="dxa" w:w="1244"/>
          </w:tcPr>
          <w:p>
            <w:pPr>
              <w:spacing w:before="20" w:after="20" w:line="240" w:lineRule="exact"/>
              <w:jc w:val="center"/>
            </w:pPr>
            <w:r>
              <w:rPr>
                <w:rFonts w:ascii="Times New Roman" w:hAnsi="Times New Roman"/>
                <w:b w:val="0"/>
                <w:sz w:val="16"/>
              </w:rPr>
              <w:t>C1/Inf1</w:t>
            </w:r>
          </w:p>
        </w:tc>
        <w:tc>
          <w:tcPr>
            <w:tcW w:type="dxa" w:w="1244"/>
          </w:tcPr>
          <w:p>
            <w:pPr>
              <w:spacing w:before="20" w:after="20" w:line="240" w:lineRule="exact"/>
              <w:jc w:val="center"/>
            </w:pPr>
            <w:r>
              <w:rPr>
                <w:rFonts w:ascii="Times New Roman" w:hAnsi="Times New Roman"/>
                <w:b w:val="0"/>
                <w:sz w:val="16"/>
              </w:rPr>
              <w:t>Chills</w:t>
            </w:r>
          </w:p>
        </w:tc>
        <w:tc>
          <w:tcPr>
            <w:tcW w:type="dxa" w:w="1244"/>
          </w:tcPr>
          <w:p>
            <w:pPr>
              <w:spacing w:before="20" w:after="20" w:line="240" w:lineRule="exact"/>
              <w:jc w:val="center"/>
            </w:pPr>
            <w:r>
              <w:rPr>
                <w:rFonts w:ascii="Times New Roman" w:hAnsi="Times New Roman"/>
                <w:b w:val="0"/>
                <w:sz w:val="16"/>
              </w:rPr>
              <w:t>2</w:t>
            </w:r>
          </w:p>
        </w:tc>
        <w:tc>
          <w:tcPr>
            <w:tcW w:type="dxa" w:w="1244"/>
          </w:tcPr>
          <w:p>
            <w:pPr>
              <w:spacing w:before="20" w:after="20" w:line="240" w:lineRule="exact"/>
              <w:jc w:val="center"/>
            </w:pPr>
            <w:r>
              <w:rPr>
                <w:rFonts w:ascii="Times New Roman" w:hAnsi="Times New Roman"/>
                <w:b w:val="0"/>
                <w:sz w:val="16"/>
              </w:rPr>
              <w:t>45</w:t>
            </w:r>
          </w:p>
        </w:tc>
        <w:tc>
          <w:tcPr>
            <w:tcW w:type="dxa" w:w="1244"/>
          </w:tcPr>
          <w:p>
            <w:pPr>
              <w:spacing w:before="20" w:after="20" w:line="240" w:lineRule="exact"/>
              <w:jc w:val="center"/>
            </w:pPr>
            <w:r>
              <w:rPr>
                <w:rFonts w:ascii="Times New Roman" w:hAnsi="Times New Roman"/>
                <w:b w:val="0"/>
                <w:sz w:val="16"/>
              </w:rPr>
              <w:t>Rate reduced 50%</w:t>
            </w:r>
          </w:p>
        </w:tc>
        <w:tc>
          <w:tcPr>
            <w:tcW w:type="dxa" w:w="1244"/>
          </w:tcPr>
          <w:p>
            <w:pPr>
              <w:spacing w:before="20" w:after="20" w:line="240" w:lineRule="exact"/>
              <w:jc w:val="center"/>
            </w:pPr>
            <w:r>
              <w:rPr>
                <w:rFonts w:ascii="Times New Roman" w:hAnsi="Times New Roman"/>
                <w:b w:val="0"/>
                <w:sz w:val="16"/>
              </w:rPr>
              <w:t>Antihistamine</w:t>
            </w:r>
          </w:p>
        </w:tc>
        <w:tc>
          <w:tcPr>
            <w:tcW w:type="dxa" w:w="1244"/>
          </w:tcPr>
          <w:p>
            <w:pPr>
              <w:spacing w:before="20" w:after="20" w:line="240" w:lineRule="exact"/>
              <w:jc w:val="center"/>
            </w:pPr>
            <w:r>
              <w:rPr>
                <w:rFonts w:ascii="Times New Roman" w:hAnsi="Times New Roman"/>
                <w:b w:val="0"/>
                <w:sz w:val="16"/>
              </w:rPr>
              <w:t>Y</w:t>
            </w:r>
          </w:p>
        </w:tc>
        <w:tc>
          <w:tcPr>
            <w:tcW w:type="dxa" w:w="1244"/>
          </w:tcPr>
          <w:p>
            <w:pPr>
              <w:spacing w:before="20" w:after="20" w:line="240" w:lineRule="exact"/>
              <w:jc w:val="center"/>
            </w:pPr>
            <w:r>
              <w:rPr>
                <w:rFonts w:ascii="Times New Roman" w:hAnsi="Times New Roman"/>
                <w:b w:val="0"/>
                <w:sz w:val="16"/>
              </w:rPr>
              <w:t>Recovered</w:t>
            </w:r>
          </w:p>
        </w:tc>
      </w:tr>
      <w:tr>
        <w:tc>
          <w:tcPr>
            <w:tcW w:type="dxa" w:w="1244"/>
          </w:tcPr>
          <w:p>
            <w:pPr>
              <w:spacing w:before="20" w:after="20" w:line="240" w:lineRule="exact"/>
              <w:jc w:val="left"/>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c>
          <w:tcPr>
            <w:tcW w:type="dxa" w:w="1244"/>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IRR = infusion-related reaction (onset during or within 24h of infusion). Refer to T14.3.1.13 and T14.3.1.25.</w:t>
      </w:r>
    </w:p>
    <w:p>
      <w:pPr>
        <w:spacing w:before="0" w:after="0"/>
      </w:pPr>
      <w:r>
        <w:rPr>
          <w:rFonts w:ascii="Times New Roman" w:hAnsi="Times New Roman"/>
          <w:i/>
          <w:sz w:val="16"/>
        </w:rPr>
        <w:t>[2] Dataset: ADSL, ADAE, ADEX. Program: l_irr.sas.</w:t>
      </w:r>
    </w:p>
    <w:p>
      <w:pPr>
        <w:spacing w:before="0" w:after="0"/>
      </w:pPr>
      <w:r>
        <w:rPr>
          <w:rFonts w:ascii="Times New Roman" w:hAnsi="Times New Roman"/>
          <w:i/>
          <w:sz w:val="16"/>
        </w:rPr>
        <w:t>[3] Grading: Adverse events were graded using CTCAE v[xx].</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16.2.30  Listing of Dose Modifications — Interruptions and Reductions Detail</w:t>
      </w:r>
      <w:r>
        <w:bookmarkStart w:id="0" w:name="L16.2.30"/>
        <w:bookmarkEnd w:id="0"/>
      </w:r>
    </w:p>
    <w:p>
      <w:pPr>
        <w:keepNext/>
        <w:spacing w:before="40" w:after="160"/>
      </w:pPr>
      <w:r>
        <w:rPr>
          <w:rFonts w:ascii="Times New Roman" w:hAnsi="Times New Roman"/>
          <w:i/>
          <w:sz w:val="18"/>
        </w:rPr>
        <w:t>Analysis Set: Safety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368"/>
        <w:gridCol w:w="1368"/>
        <w:gridCol w:w="1368"/>
        <w:gridCol w:w="1368"/>
        <w:gridCol w:w="1368"/>
        <w:gridCol w:w="1368"/>
        <w:gridCol w:w="1368"/>
        <w:gridCol w:w="1368"/>
        <w:gridCol w:w="1368"/>
        <w:gridCol w:w="1368"/>
      </w:tblGrid>
      <w:tr>
        <w:trPr>
          <w:tblHeader w:val="true"/>
        </w:trPr>
        <w:tc>
          <w:tcPr>
            <w:tcW w:type="dxa" w:w="1368"/>
            <w:shd w:fill="F2F2F2" w:val="clear"/>
            <w:tcBorders>
              <w:bottom w:val="single" w:sz="4" w:space="0" w:color="000000"/>
            </w:tcBorders>
          </w:tcPr>
          <w:p>
            <w:pPr>
              <w:jc w:val="left"/>
            </w:pPr>
            <w:r>
              <w:rPr>
                <w:rFonts w:ascii="Times New Roman" w:hAnsi="Times New Roman"/>
                <w:b/>
                <w:sz w:val="18"/>
              </w:rPr>
              <w:t>Site</w:t>
            </w:r>
          </w:p>
        </w:tc>
        <w:tc>
          <w:tcPr>
            <w:tcW w:type="dxa" w:w="1368"/>
            <w:shd w:fill="F2F2F2" w:val="clear"/>
            <w:tcBorders>
              <w:bottom w:val="single" w:sz="4" w:space="0" w:color="000000"/>
            </w:tcBorders>
          </w:tcPr>
          <w:p>
            <w:pPr>
              <w:jc w:val="center"/>
            </w:pPr>
            <w:r>
              <w:rPr>
                <w:rFonts w:ascii="Times New Roman" w:hAnsi="Times New Roman"/>
                <w:b/>
                <w:sz w:val="18"/>
              </w:rPr>
              <w:t>Subject</w:t>
            </w:r>
          </w:p>
        </w:tc>
        <w:tc>
          <w:tcPr>
            <w:tcW w:type="dxa" w:w="1368"/>
            <w:shd w:fill="F2F2F2" w:val="clear"/>
            <w:tcBorders>
              <w:bottom w:val="single" w:sz="4" w:space="0" w:color="000000"/>
            </w:tcBorders>
          </w:tcPr>
          <w:p>
            <w:pPr>
              <w:jc w:val="center"/>
            </w:pPr>
            <w:r>
              <w:rPr>
                <w:rFonts w:ascii="Times New Roman" w:hAnsi="Times New Roman"/>
                <w:b/>
                <w:sz w:val="18"/>
              </w:rPr>
              <w:t>Group</w:t>
            </w:r>
          </w:p>
        </w:tc>
        <w:tc>
          <w:tcPr>
            <w:tcW w:type="dxa" w:w="1368"/>
            <w:shd w:fill="F2F2F2" w:val="clear"/>
            <w:tcBorders>
              <w:bottom w:val="single" w:sz="4" w:space="0" w:color="000000"/>
            </w:tcBorders>
          </w:tcPr>
          <w:p>
            <w:pPr>
              <w:jc w:val="center"/>
            </w:pPr>
            <w:r>
              <w:rPr>
                <w:rFonts w:ascii="Times New Roman" w:hAnsi="Times New Roman"/>
                <w:b/>
                <w:sz w:val="18"/>
              </w:rPr>
              <w:t>Cycle</w:t>
            </w:r>
          </w:p>
        </w:tc>
        <w:tc>
          <w:tcPr>
            <w:tcW w:type="dxa" w:w="1368"/>
            <w:shd w:fill="F2F2F2" w:val="clear"/>
            <w:tcBorders>
              <w:bottom w:val="single" w:sz="4" w:space="0" w:color="000000"/>
            </w:tcBorders>
          </w:tcPr>
          <w:p>
            <w:pPr>
              <w:jc w:val="center"/>
            </w:pPr>
            <w:r>
              <w:rPr>
                <w:rFonts w:ascii="Times New Roman" w:hAnsi="Times New Roman"/>
                <w:b/>
                <w:sz w:val="18"/>
              </w:rPr>
              <w:t>Modification Type</w:t>
            </w:r>
          </w:p>
        </w:tc>
        <w:tc>
          <w:tcPr>
            <w:tcW w:type="dxa" w:w="1368"/>
            <w:shd w:fill="F2F2F2" w:val="clear"/>
            <w:tcBorders>
              <w:bottom w:val="single" w:sz="4" w:space="0" w:color="000000"/>
            </w:tcBorders>
          </w:tcPr>
          <w:p>
            <w:pPr>
              <w:jc w:val="center"/>
            </w:pPr>
            <w:r>
              <w:rPr>
                <w:rFonts w:ascii="Times New Roman" w:hAnsi="Times New Roman"/>
                <w:b/>
                <w:sz w:val="18"/>
              </w:rPr>
              <w:t>Reason</w:t>
            </w:r>
          </w:p>
        </w:tc>
        <w:tc>
          <w:tcPr>
            <w:tcW w:type="dxa" w:w="1368"/>
            <w:shd w:fill="F2F2F2" w:val="clear"/>
            <w:tcBorders>
              <w:bottom w:val="single" w:sz="4" w:space="0" w:color="000000"/>
            </w:tcBorders>
          </w:tcPr>
          <w:p>
            <w:pPr>
              <w:jc w:val="center"/>
            </w:pPr>
            <w:r>
              <w:rPr>
                <w:rFonts w:ascii="Times New Roman" w:hAnsi="Times New Roman"/>
                <w:b/>
                <w:sz w:val="18"/>
              </w:rPr>
              <w:t>AE-Related PT</w:t>
            </w:r>
          </w:p>
        </w:tc>
        <w:tc>
          <w:tcPr>
            <w:tcW w:type="dxa" w:w="1368"/>
            <w:shd w:fill="F2F2F2" w:val="clear"/>
            <w:tcBorders>
              <w:bottom w:val="single" w:sz="4" w:space="0" w:color="000000"/>
            </w:tcBorders>
          </w:tcPr>
          <w:p>
            <w:pPr>
              <w:jc w:val="center"/>
            </w:pPr>
            <w:r>
              <w:rPr>
                <w:rFonts w:ascii="Times New Roman" w:hAnsi="Times New Roman"/>
                <w:b/>
                <w:sz w:val="18"/>
              </w:rPr>
              <w:t>Original Dose</w:t>
            </w:r>
          </w:p>
        </w:tc>
        <w:tc>
          <w:tcPr>
            <w:tcW w:type="dxa" w:w="1368"/>
            <w:shd w:fill="F2F2F2" w:val="clear"/>
            <w:tcBorders>
              <w:bottom w:val="single" w:sz="4" w:space="0" w:color="000000"/>
            </w:tcBorders>
          </w:tcPr>
          <w:p>
            <w:pPr>
              <w:jc w:val="center"/>
            </w:pPr>
            <w:r>
              <w:rPr>
                <w:rFonts w:ascii="Times New Roman" w:hAnsi="Times New Roman"/>
                <w:b/>
                <w:sz w:val="18"/>
              </w:rPr>
              <w:t>Modified Dose</w:t>
            </w:r>
          </w:p>
        </w:tc>
        <w:tc>
          <w:tcPr>
            <w:tcW w:type="dxa" w:w="1368"/>
            <w:shd w:fill="F2F2F2" w:val="clear"/>
            <w:tcBorders>
              <w:bottom w:val="single" w:sz="4" w:space="0" w:color="000000"/>
            </w:tcBorders>
          </w:tcPr>
          <w:p>
            <w:pPr>
              <w:jc w:val="center"/>
            </w:pPr>
            <w:r>
              <w:rPr>
                <w:rFonts w:ascii="Times New Roman" w:hAnsi="Times New Roman"/>
                <w:b/>
                <w:sz w:val="18"/>
              </w:rPr>
              <w:t>Days Interrupted</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C3</w:t>
            </w:r>
          </w:p>
        </w:tc>
        <w:tc>
          <w:tcPr>
            <w:tcW w:type="dxa" w:w="1368"/>
          </w:tcPr>
          <w:p>
            <w:pPr>
              <w:spacing w:before="20" w:after="20" w:line="240" w:lineRule="exact"/>
              <w:jc w:val="center"/>
            </w:pPr>
            <w:r>
              <w:rPr>
                <w:rFonts w:ascii="Times New Roman" w:hAnsi="Times New Roman"/>
                <w:b w:val="0"/>
                <w:sz w:val="16"/>
              </w:rPr>
              <w:t>Interruption</w:t>
            </w:r>
          </w:p>
        </w:tc>
        <w:tc>
          <w:tcPr>
            <w:tcW w:type="dxa" w:w="1368"/>
          </w:tcPr>
          <w:p>
            <w:pPr>
              <w:spacing w:before="20" w:after="20" w:line="240" w:lineRule="exact"/>
              <w:jc w:val="center"/>
            </w:pPr>
            <w:r>
              <w:rPr>
                <w:rFonts w:ascii="Times New Roman" w:hAnsi="Times New Roman"/>
                <w:b w:val="0"/>
                <w:sz w:val="16"/>
              </w:rPr>
              <w:t>Neutropenia</w:t>
            </w:r>
          </w:p>
        </w:tc>
        <w:tc>
          <w:tcPr>
            <w:tcW w:type="dxa" w:w="1368"/>
          </w:tcPr>
          <w:p>
            <w:pPr>
              <w:spacing w:before="20" w:after="20" w:line="240" w:lineRule="exact"/>
              <w:jc w:val="center"/>
            </w:pPr>
            <w:r>
              <w:rPr>
                <w:rFonts w:ascii="Times New Roman" w:hAnsi="Times New Roman"/>
                <w:b w:val="0"/>
                <w:sz w:val="16"/>
              </w:rPr>
              <w:t>Neutropenia Gr3</w:t>
            </w:r>
          </w:p>
        </w:tc>
        <w:tc>
          <w:tcPr>
            <w:tcW w:type="dxa" w:w="1368"/>
          </w:tcPr>
          <w:p>
            <w:pPr>
              <w:spacing w:before="20" w:after="20" w:line="240" w:lineRule="exact"/>
              <w:jc w:val="center"/>
            </w:pPr>
            <w:r>
              <w:rPr>
                <w:rFonts w:ascii="Times New Roman" w:hAnsi="Times New Roman"/>
                <w:b w:val="0"/>
                <w:sz w:val="16"/>
              </w:rPr>
              <w:t>xxx mg</w:t>
            </w:r>
          </w:p>
        </w:tc>
        <w:tc>
          <w:tcPr>
            <w:tcW w:type="dxa" w:w="1368"/>
          </w:tcPr>
          <w:p>
            <w:pPr>
              <w:spacing w:before="20" w:after="20" w:line="240" w:lineRule="exact"/>
              <w:jc w:val="center"/>
            </w:pPr>
            <w:r>
              <w:rPr>
                <w:rFonts w:ascii="Times New Roman" w:hAnsi="Times New Roman"/>
                <w:b w:val="0"/>
                <w:sz w:val="16"/>
              </w:rPr>
              <w:t>0 mg</w:t>
            </w:r>
          </w:p>
        </w:tc>
        <w:tc>
          <w:tcPr>
            <w:tcW w:type="dxa" w:w="1368"/>
          </w:tcPr>
          <w:p>
            <w:pPr>
              <w:spacing w:before="20" w:after="20" w:line="240" w:lineRule="exact"/>
              <w:jc w:val="center"/>
            </w:pPr>
            <w:r>
              <w:rPr>
                <w:rFonts w:ascii="Times New Roman" w:hAnsi="Times New Roman"/>
                <w:b w:val="0"/>
                <w:sz w:val="16"/>
              </w:rPr>
              <w:t>7</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C5</w:t>
            </w:r>
          </w:p>
        </w:tc>
        <w:tc>
          <w:tcPr>
            <w:tcW w:type="dxa" w:w="1368"/>
          </w:tcPr>
          <w:p>
            <w:pPr>
              <w:spacing w:before="20" w:after="20" w:line="240" w:lineRule="exact"/>
              <w:jc w:val="center"/>
            </w:pPr>
            <w:r>
              <w:rPr>
                <w:rFonts w:ascii="Times New Roman" w:hAnsi="Times New Roman"/>
                <w:b w:val="0"/>
                <w:sz w:val="16"/>
              </w:rPr>
              <w:t>Reduction</w:t>
            </w:r>
          </w:p>
        </w:tc>
        <w:tc>
          <w:tcPr>
            <w:tcW w:type="dxa" w:w="1368"/>
          </w:tcPr>
          <w:p>
            <w:pPr>
              <w:spacing w:before="20" w:after="20" w:line="240" w:lineRule="exact"/>
              <w:jc w:val="center"/>
            </w:pPr>
            <w:r>
              <w:rPr>
                <w:rFonts w:ascii="Times New Roman" w:hAnsi="Times New Roman"/>
                <w:b w:val="0"/>
                <w:sz w:val="16"/>
              </w:rPr>
              <w:t>Fatigue</w:t>
            </w:r>
          </w:p>
        </w:tc>
        <w:tc>
          <w:tcPr>
            <w:tcW w:type="dxa" w:w="1368"/>
          </w:tcPr>
          <w:p>
            <w:pPr>
              <w:spacing w:before="20" w:after="20" w:line="240" w:lineRule="exact"/>
              <w:jc w:val="center"/>
            </w:pPr>
            <w:r>
              <w:rPr>
                <w:rFonts w:ascii="Times New Roman" w:hAnsi="Times New Roman"/>
                <w:b w:val="0"/>
                <w:sz w:val="16"/>
              </w:rPr>
              <w:t>Fatigue Gr2</w:t>
            </w:r>
          </w:p>
        </w:tc>
        <w:tc>
          <w:tcPr>
            <w:tcW w:type="dxa" w:w="1368"/>
          </w:tcPr>
          <w:p>
            <w:pPr>
              <w:spacing w:before="20" w:after="20" w:line="240" w:lineRule="exact"/>
              <w:jc w:val="center"/>
            </w:pPr>
            <w:r>
              <w:rPr>
                <w:rFonts w:ascii="Times New Roman" w:hAnsi="Times New Roman"/>
                <w:b w:val="0"/>
                <w:sz w:val="16"/>
              </w:rPr>
              <w:t>xxx mg</w:t>
            </w:r>
          </w:p>
        </w:tc>
        <w:tc>
          <w:tcPr>
            <w:tcW w:type="dxa" w:w="1368"/>
          </w:tcPr>
          <w:p>
            <w:pPr>
              <w:spacing w:before="20" w:after="20" w:line="240" w:lineRule="exact"/>
              <w:jc w:val="center"/>
            </w:pPr>
            <w:r>
              <w:rPr>
                <w:rFonts w:ascii="Times New Roman" w:hAnsi="Times New Roman"/>
                <w:b w:val="0"/>
                <w:sz w:val="16"/>
              </w:rPr>
              <w:t>xx mg</w:t>
            </w:r>
          </w:p>
        </w:tc>
        <w:tc>
          <w:tcPr>
            <w:tcW w:type="dxa" w:w="1368"/>
          </w:tcPr>
          <w:p>
            <w:pPr>
              <w:spacing w:before="20" w:after="20" w:line="240" w:lineRule="exact"/>
              <w:jc w:val="center"/>
            </w:pPr>
            <w:r>
              <w:rPr>
                <w:rFonts w:ascii="Times New Roman" w:hAnsi="Times New Roman"/>
                <w:b w:val="0"/>
                <w:sz w:val="16"/>
              </w:rPr>
              <w:t>0</w:t>
            </w:r>
          </w:p>
        </w:tc>
      </w:tr>
      <w:tr>
        <w:tc>
          <w:tcPr>
            <w:tcW w:type="dxa" w:w="1368"/>
          </w:tcPr>
          <w:p>
            <w:pPr>
              <w:spacing w:before="20" w:after="20" w:line="240" w:lineRule="exact"/>
              <w:jc w:val="left"/>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Refer to T14.3.1.7 and T14.3.1.25 for summary tables.</w:t>
      </w:r>
    </w:p>
    <w:p>
      <w:pPr>
        <w:spacing w:before="0" w:after="0"/>
      </w:pPr>
      <w:r>
        <w:rPr>
          <w:rFonts w:ascii="Times New Roman" w:hAnsi="Times New Roman"/>
          <w:i/>
          <w:sz w:val="16"/>
        </w:rPr>
        <w:t>[2] Dataset: ADSL, ADEX. Program: l_dose_mod.sas.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16.2.31  Listing of Reproductive Hormone Panel Results</w:t>
      </w:r>
      <w:r>
        <w:bookmarkStart w:id="0" w:name="L16.2.31"/>
        <w:bookmarkEnd w:id="0"/>
      </w:r>
    </w:p>
    <w:p>
      <w:pPr>
        <w:keepNext/>
        <w:spacing w:before="40" w:after="160"/>
      </w:pPr>
      <w:r>
        <w:rPr>
          <w:rFonts w:ascii="Times New Roman" w:hAnsi="Times New Roman"/>
          <w:i/>
          <w:sz w:val="18"/>
        </w:rPr>
        <w:t>Analysis Set: Safety Population (Subset with Hormone Data)</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368"/>
        <w:gridCol w:w="1368"/>
        <w:gridCol w:w="1368"/>
        <w:gridCol w:w="1368"/>
        <w:gridCol w:w="1368"/>
        <w:gridCol w:w="1368"/>
        <w:gridCol w:w="1368"/>
        <w:gridCol w:w="1368"/>
        <w:gridCol w:w="1368"/>
        <w:gridCol w:w="1368"/>
      </w:tblGrid>
      <w:tr>
        <w:trPr>
          <w:tblHeader w:val="true"/>
        </w:trPr>
        <w:tc>
          <w:tcPr>
            <w:tcW w:type="dxa" w:w="1368"/>
            <w:shd w:fill="F2F2F2" w:val="clear"/>
            <w:tcBorders>
              <w:bottom w:val="single" w:sz="4" w:space="0" w:color="000000"/>
            </w:tcBorders>
          </w:tcPr>
          <w:p>
            <w:pPr>
              <w:jc w:val="left"/>
            </w:pPr>
            <w:r>
              <w:rPr>
                <w:rFonts w:ascii="Times New Roman" w:hAnsi="Times New Roman"/>
                <w:b/>
                <w:sz w:val="18"/>
              </w:rPr>
              <w:t>Site</w:t>
            </w:r>
          </w:p>
        </w:tc>
        <w:tc>
          <w:tcPr>
            <w:tcW w:type="dxa" w:w="1368"/>
            <w:shd w:fill="F2F2F2" w:val="clear"/>
            <w:tcBorders>
              <w:bottom w:val="single" w:sz="4" w:space="0" w:color="000000"/>
            </w:tcBorders>
          </w:tcPr>
          <w:p>
            <w:pPr>
              <w:jc w:val="center"/>
            </w:pPr>
            <w:r>
              <w:rPr>
                <w:rFonts w:ascii="Times New Roman" w:hAnsi="Times New Roman"/>
                <w:b/>
                <w:sz w:val="18"/>
              </w:rPr>
              <w:t>Subject</w:t>
            </w:r>
          </w:p>
        </w:tc>
        <w:tc>
          <w:tcPr>
            <w:tcW w:type="dxa" w:w="1368"/>
            <w:shd w:fill="F2F2F2" w:val="clear"/>
            <w:tcBorders>
              <w:bottom w:val="single" w:sz="4" w:space="0" w:color="000000"/>
            </w:tcBorders>
          </w:tcPr>
          <w:p>
            <w:pPr>
              <w:jc w:val="center"/>
            </w:pPr>
            <w:r>
              <w:rPr>
                <w:rFonts w:ascii="Times New Roman" w:hAnsi="Times New Roman"/>
                <w:b/>
                <w:sz w:val="18"/>
              </w:rPr>
              <w:t>Group</w:t>
            </w:r>
          </w:p>
        </w:tc>
        <w:tc>
          <w:tcPr>
            <w:tcW w:type="dxa" w:w="1368"/>
            <w:shd w:fill="F2F2F2" w:val="clear"/>
            <w:tcBorders>
              <w:bottom w:val="single" w:sz="4" w:space="0" w:color="000000"/>
            </w:tcBorders>
          </w:tcPr>
          <w:p>
            <w:pPr>
              <w:jc w:val="center"/>
            </w:pPr>
            <w:r>
              <w:rPr>
                <w:rFonts w:ascii="Times New Roman" w:hAnsi="Times New Roman"/>
                <w:b/>
                <w:sz w:val="18"/>
              </w:rPr>
              <w:t>Sex</w:t>
            </w:r>
          </w:p>
        </w:tc>
        <w:tc>
          <w:tcPr>
            <w:tcW w:type="dxa" w:w="1368"/>
            <w:shd w:fill="F2F2F2" w:val="clear"/>
            <w:tcBorders>
              <w:bottom w:val="single" w:sz="4" w:space="0" w:color="000000"/>
            </w:tcBorders>
          </w:tcPr>
          <w:p>
            <w:pPr>
              <w:jc w:val="center"/>
            </w:pPr>
            <w:r>
              <w:rPr>
                <w:rFonts w:ascii="Times New Roman" w:hAnsi="Times New Roman"/>
                <w:b/>
                <w:sz w:val="18"/>
              </w:rPr>
              <w:t>Visit</w:t>
            </w:r>
          </w:p>
        </w:tc>
        <w:tc>
          <w:tcPr>
            <w:tcW w:type="dxa" w:w="1368"/>
            <w:shd w:fill="F2F2F2" w:val="clear"/>
            <w:tcBorders>
              <w:bottom w:val="single" w:sz="4" w:space="0" w:color="000000"/>
            </w:tcBorders>
          </w:tcPr>
          <w:p>
            <w:pPr>
              <w:jc w:val="center"/>
            </w:pPr>
            <w:r>
              <w:rPr>
                <w:rFonts w:ascii="Times New Roman" w:hAnsi="Times New Roman"/>
                <w:b/>
                <w:sz w:val="18"/>
              </w:rPr>
              <w:t>FSH (IU/L)</w:t>
            </w:r>
          </w:p>
        </w:tc>
        <w:tc>
          <w:tcPr>
            <w:tcW w:type="dxa" w:w="1368"/>
            <w:shd w:fill="F2F2F2" w:val="clear"/>
            <w:tcBorders>
              <w:bottom w:val="single" w:sz="4" w:space="0" w:color="000000"/>
            </w:tcBorders>
          </w:tcPr>
          <w:p>
            <w:pPr>
              <w:jc w:val="center"/>
            </w:pPr>
            <w:r>
              <w:rPr>
                <w:rFonts w:ascii="Times New Roman" w:hAnsi="Times New Roman"/>
                <w:b/>
                <w:sz w:val="18"/>
              </w:rPr>
              <w:t>LH (IU/L)</w:t>
            </w:r>
          </w:p>
        </w:tc>
        <w:tc>
          <w:tcPr>
            <w:tcW w:type="dxa" w:w="1368"/>
            <w:shd w:fill="F2F2F2" w:val="clear"/>
            <w:tcBorders>
              <w:bottom w:val="single" w:sz="4" w:space="0" w:color="000000"/>
            </w:tcBorders>
          </w:tcPr>
          <w:p>
            <w:pPr>
              <w:jc w:val="center"/>
            </w:pPr>
            <w:r>
              <w:rPr>
                <w:rFonts w:ascii="Times New Roman" w:hAnsi="Times New Roman"/>
                <w:b/>
                <w:sz w:val="18"/>
              </w:rPr>
              <w:t>Estradiol (pmol/L)</w:t>
            </w:r>
          </w:p>
        </w:tc>
        <w:tc>
          <w:tcPr>
            <w:tcW w:type="dxa" w:w="1368"/>
            <w:shd w:fill="F2F2F2" w:val="clear"/>
            <w:tcBorders>
              <w:bottom w:val="single" w:sz="4" w:space="0" w:color="000000"/>
            </w:tcBorders>
          </w:tcPr>
          <w:p>
            <w:pPr>
              <w:jc w:val="center"/>
            </w:pPr>
            <w:r>
              <w:rPr>
                <w:rFonts w:ascii="Times New Roman" w:hAnsi="Times New Roman"/>
                <w:b/>
                <w:sz w:val="18"/>
              </w:rPr>
              <w:t>Testosterone (nmol/L)</w:t>
            </w:r>
          </w:p>
        </w:tc>
        <w:tc>
          <w:tcPr>
            <w:tcW w:type="dxa" w:w="1368"/>
            <w:shd w:fill="F2F2F2" w:val="clear"/>
            <w:tcBorders>
              <w:bottom w:val="single" w:sz="4" w:space="0" w:color="000000"/>
            </w:tcBorders>
          </w:tcPr>
          <w:p>
            <w:pPr>
              <w:jc w:val="center"/>
            </w:pPr>
            <w:r>
              <w:rPr>
                <w:rFonts w:ascii="Times New Roman" w:hAnsi="Times New Roman"/>
                <w:b/>
                <w:sz w:val="18"/>
              </w:rPr>
              <w:t>AMH (pmol/L)</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F</w:t>
            </w:r>
          </w:p>
        </w:tc>
        <w:tc>
          <w:tcPr>
            <w:tcW w:type="dxa" w:w="1368"/>
          </w:tcPr>
          <w:p>
            <w:pPr>
              <w:spacing w:before="20" w:after="20" w:line="240" w:lineRule="exact"/>
              <w:jc w:val="center"/>
            </w:pPr>
            <w:r>
              <w:rPr>
                <w:rFonts w:ascii="Times New Roman" w:hAnsi="Times New Roman"/>
                <w:b w:val="0"/>
                <w:sz w:val="16"/>
              </w:rPr>
              <w:t>Baseline</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w:t>
            </w:r>
          </w:p>
        </w:tc>
        <w:tc>
          <w:tcPr>
            <w:tcW w:type="dxa" w:w="1368"/>
          </w:tcPr>
          <w:p>
            <w:pPr>
              <w:spacing w:before="20" w:after="20" w:line="240" w:lineRule="exact"/>
              <w:jc w:val="center"/>
            </w:pPr>
            <w:r>
              <w:rPr>
                <w:rFonts w:ascii="Times New Roman" w:hAnsi="Times New Roman"/>
                <w:b w:val="0"/>
                <w:sz w:val="16"/>
              </w:rPr>
              <w:t>xx.x</w:t>
            </w:r>
          </w:p>
        </w:tc>
      </w:tr>
      <w:tr>
        <w:tc>
          <w:tcPr>
            <w:tcW w:type="dxa" w:w="1368"/>
          </w:tcPr>
          <w:p>
            <w:pPr>
              <w:spacing w:before="20" w:after="20" w:line="240" w:lineRule="exact"/>
              <w:jc w:val="left"/>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xxxx/xxx</w:t>
            </w:r>
          </w:p>
        </w:tc>
        <w:tc>
          <w:tcPr>
            <w:tcW w:type="dxa" w:w="1368"/>
          </w:tcPr>
          <w:p>
            <w:pPr>
              <w:spacing w:before="20" w:after="20" w:line="240" w:lineRule="exact"/>
              <w:jc w:val="center"/>
            </w:pPr>
            <w:r>
              <w:rPr>
                <w:rFonts w:ascii="Times New Roman" w:hAnsi="Times New Roman"/>
                <w:b w:val="0"/>
                <w:sz w:val="16"/>
              </w:rPr>
              <w:t>Group</w:t>
            </w:r>
          </w:p>
        </w:tc>
        <w:tc>
          <w:tcPr>
            <w:tcW w:type="dxa" w:w="1368"/>
          </w:tcPr>
          <w:p>
            <w:pPr>
              <w:spacing w:before="20" w:after="20" w:line="240" w:lineRule="exact"/>
              <w:jc w:val="center"/>
            </w:pPr>
            <w:r>
              <w:rPr>
                <w:rFonts w:ascii="Times New Roman" w:hAnsi="Times New Roman"/>
                <w:b w:val="0"/>
                <w:sz w:val="16"/>
              </w:rPr>
              <w:t>M</w:t>
            </w:r>
          </w:p>
        </w:tc>
        <w:tc>
          <w:tcPr>
            <w:tcW w:type="dxa" w:w="1368"/>
          </w:tcPr>
          <w:p>
            <w:pPr>
              <w:spacing w:before="20" w:after="20" w:line="240" w:lineRule="exact"/>
              <w:jc w:val="center"/>
            </w:pPr>
            <w:r>
              <w:rPr>
                <w:rFonts w:ascii="Times New Roman" w:hAnsi="Times New Roman"/>
                <w:b w:val="0"/>
                <w:sz w:val="16"/>
              </w:rPr>
              <w:t>Baseline</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xx.x</w:t>
            </w:r>
          </w:p>
        </w:tc>
        <w:tc>
          <w:tcPr>
            <w:tcW w:type="dxa" w:w="1368"/>
          </w:tcPr>
          <w:p>
            <w:pPr>
              <w:spacing w:before="20" w:after="20" w:line="240" w:lineRule="exact"/>
              <w:jc w:val="center"/>
            </w:pPr>
            <w:r>
              <w:rPr>
                <w:rFonts w:ascii="Times New Roman" w:hAnsi="Times New Roman"/>
                <w:b w:val="0"/>
                <w:sz w:val="16"/>
              </w:rPr>
              <w:t>N/A</w:t>
            </w:r>
          </w:p>
        </w:tc>
      </w:tr>
      <w:tr>
        <w:tc>
          <w:tcPr>
            <w:tcW w:type="dxa" w:w="1368"/>
          </w:tcPr>
          <w:p>
            <w:pPr>
              <w:spacing w:before="20" w:after="20" w:line="240" w:lineRule="exact"/>
              <w:jc w:val="left"/>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c>
          <w:tcPr>
            <w:tcW w:type="dxa" w:w="1368"/>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Reproductive hormones collected per protocol. AMH = Anti-Mullerian Hormone (females only where applicable).</w:t>
      </w:r>
    </w:p>
    <w:p>
      <w:pPr>
        <w:spacing w:before="0" w:after="0"/>
      </w:pPr>
      <w:r>
        <w:rPr>
          <w:rFonts w:ascii="Times New Roman" w:hAnsi="Times New Roman"/>
          <w:i/>
          <w:sz w:val="16"/>
        </w:rPr>
        <w:t>[2] Dataset: ADSL, ADLB. Program: l_hormone.sas.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16.2.32  Listing of Dose-Limiting Toxicities and Dose Escalation Review Window</w:t>
      </w:r>
      <w:r>
        <w:bookmarkStart w:id="0" w:name="L16.2.32"/>
        <w:bookmarkEnd w:id="0"/>
      </w:r>
    </w:p>
    <w:p>
      <w:pPr>
        <w:keepNext/>
        <w:spacing w:before="40" w:after="160"/>
      </w:pPr>
      <w:r>
        <w:rPr>
          <w:rFonts w:ascii="Times New Roman" w:hAnsi="Times New Roman"/>
          <w:i/>
          <w:sz w:val="18"/>
        </w:rPr>
        <w:t>Analysis Set: DLT-Evaluable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spacing w:before="0" w:after="0"/>
              <w:jc w:val="center"/>
            </w:pPr>
            <w:r>
              <w:rPr>
                <w:rFonts w:ascii="Times New Roman" w:hAnsi="Times New Roman"/>
                <w:b/>
                <w:sz w:val="18"/>
              </w:rPr>
              <w:t>Cohort /</w:t>
            </w:r>
          </w:p>
          <w:p>
            <w:pPr>
              <w:spacing w:before="0" w:after="0"/>
              <w:jc w:val="center"/>
            </w:pPr>
            <w:r>
              <w:rPr>
                <w:rFonts w:ascii="Times New Roman" w:hAnsi="Times New Roman"/>
                <w:b/>
                <w:sz w:val="18"/>
              </w:rPr>
              <w:t>Dose Level</w:t>
            </w:r>
          </w:p>
        </w:tc>
        <w:tc>
          <w:tcPr>
            <w:tcW w:type="dxa" w:w="1710"/>
            <w:shd w:fill="F2F2F2" w:val="clear"/>
            <w:tcBorders>
              <w:bottom w:val="single" w:sz="4" w:space="0" w:color="000000"/>
            </w:tcBorders>
          </w:tcPr>
          <w:p>
            <w:pPr>
              <w:jc w:val="center"/>
            </w:pPr>
            <w:r>
              <w:rPr>
                <w:rFonts w:ascii="Times New Roman" w:hAnsi="Times New Roman"/>
                <w:b/>
                <w:sz w:val="18"/>
              </w:rPr>
              <w:t>DLT Window</w:t>
            </w:r>
          </w:p>
        </w:tc>
        <w:tc>
          <w:tcPr>
            <w:tcW w:type="dxa" w:w="1710"/>
            <w:shd w:fill="F2F2F2" w:val="clear"/>
            <w:tcBorders>
              <w:bottom w:val="single" w:sz="4" w:space="0" w:color="000000"/>
            </w:tcBorders>
          </w:tcPr>
          <w:p>
            <w:pPr>
              <w:jc w:val="center"/>
            </w:pPr>
            <w:r>
              <w:rPr>
                <w:rFonts w:ascii="Times New Roman" w:hAnsi="Times New Roman"/>
                <w:b/>
                <w:sz w:val="18"/>
              </w:rPr>
              <w:t>DLT Term</w:t>
            </w:r>
          </w:p>
        </w:tc>
        <w:tc>
          <w:tcPr>
            <w:tcW w:type="dxa" w:w="1710"/>
            <w:shd w:fill="F2F2F2" w:val="clear"/>
            <w:tcBorders>
              <w:bottom w:val="single" w:sz="4" w:space="0" w:color="000000"/>
            </w:tcBorders>
          </w:tcPr>
          <w:p>
            <w:pPr>
              <w:jc w:val="center"/>
            </w:pPr>
            <w:r>
              <w:rPr>
                <w:rFonts w:ascii="Times New Roman" w:hAnsi="Times New Roman"/>
                <w:b/>
                <w:sz w:val="18"/>
              </w:rPr>
              <w:t>Maximum Grade</w:t>
            </w:r>
          </w:p>
        </w:tc>
        <w:tc>
          <w:tcPr>
            <w:tcW w:type="dxa" w:w="1710"/>
            <w:shd w:fill="F2F2F2" w:val="clear"/>
            <w:tcBorders>
              <w:bottom w:val="single" w:sz="4" w:space="0" w:color="000000"/>
            </w:tcBorders>
          </w:tcPr>
          <w:p>
            <w:pPr>
              <w:jc w:val="center"/>
            </w:pPr>
            <w:r>
              <w:rPr>
                <w:rFonts w:ascii="Times New Roman" w:hAnsi="Times New Roman"/>
                <w:b/>
                <w:sz w:val="18"/>
              </w:rPr>
              <w:t>DLT?</w:t>
            </w:r>
          </w:p>
        </w:tc>
        <w:tc>
          <w:tcPr>
            <w:tcW w:type="dxa" w:w="1710"/>
            <w:shd w:fill="F2F2F2" w:val="clear"/>
            <w:tcBorders>
              <w:bottom w:val="single" w:sz="4" w:space="0" w:color="000000"/>
            </w:tcBorders>
          </w:tcPr>
          <w:p>
            <w:pPr>
              <w:jc w:val="center"/>
            </w:pPr>
            <w:r>
              <w:rPr>
                <w:rFonts w:ascii="Times New Roman" w:hAnsi="Times New Roman"/>
                <w:b/>
                <w:sz w:val="18"/>
              </w:rPr>
              <w:t>Replacement Subject?</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Dose Level 1</w:t>
            </w:r>
          </w:p>
        </w:tc>
        <w:tc>
          <w:tcPr>
            <w:tcW w:type="dxa" w:w="1710"/>
          </w:tcPr>
          <w:p>
            <w:pPr>
              <w:spacing w:before="20" w:after="20" w:line="240" w:lineRule="exact"/>
              <w:jc w:val="center"/>
            </w:pPr>
            <w:r>
              <w:rPr>
                <w:rFonts w:ascii="Times New Roman" w:hAnsi="Times New Roman"/>
                <w:b w:val="0"/>
                <w:sz w:val="16"/>
              </w:rPr>
              <w:t>Cycle 1 Day 1-28</w:t>
            </w:r>
          </w:p>
        </w:tc>
        <w:tc>
          <w:tcPr>
            <w:tcW w:type="dxa" w:w="1710"/>
          </w:tcPr>
          <w:p>
            <w:pPr>
              <w:spacing w:before="20" w:after="20" w:line="240" w:lineRule="exact"/>
              <w:jc w:val="center"/>
            </w:pPr>
            <w:r>
              <w:rPr>
                <w:rFonts w:ascii="Times New Roman" w:hAnsi="Times New Roman"/>
                <w:b w:val="0"/>
                <w:sz w:val="16"/>
              </w:rPr>
              <w:t>ALT Increased</w:t>
            </w:r>
          </w:p>
        </w:tc>
        <w:tc>
          <w:tcPr>
            <w:tcW w:type="dxa" w:w="1710"/>
          </w:tcPr>
          <w:p>
            <w:pPr>
              <w:spacing w:before="20" w:after="20" w:line="240" w:lineRule="exact"/>
              <w:jc w:val="center"/>
            </w:pPr>
            <w:r>
              <w:rPr>
                <w:rFonts w:ascii="Times New Roman" w:hAnsi="Times New Roman"/>
                <w:b w:val="0"/>
                <w:sz w:val="16"/>
              </w:rPr>
              <w:t>3</w:t>
            </w:r>
          </w:p>
        </w:tc>
        <w:tc>
          <w:tcPr>
            <w:tcW w:type="dxa" w:w="1710"/>
          </w:tcPr>
          <w:p>
            <w:pPr>
              <w:spacing w:before="20" w:after="20" w:line="240" w:lineRule="exact"/>
              <w:jc w:val="center"/>
            </w:pPr>
            <w:r>
              <w:rPr>
                <w:rFonts w:ascii="Times New Roman" w:hAnsi="Times New Roman"/>
                <w:b w:val="0"/>
                <w:sz w:val="16"/>
              </w:rPr>
              <w:t>Y</w:t>
            </w:r>
          </w:p>
        </w:tc>
        <w:tc>
          <w:tcPr>
            <w:tcW w:type="dxa" w:w="1710"/>
          </w:tcPr>
          <w:p>
            <w:pPr>
              <w:spacing w:before="20" w:after="20" w:line="240" w:lineRule="exact"/>
              <w:jc w:val="center"/>
            </w:pPr>
            <w:r>
              <w:rPr>
                <w:rFonts w:ascii="Times New Roman" w:hAnsi="Times New Roman"/>
                <w:b w:val="0"/>
                <w:sz w:val="16"/>
              </w:rPr>
              <w:t>N</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Dose Level 2</w:t>
            </w:r>
          </w:p>
        </w:tc>
        <w:tc>
          <w:tcPr>
            <w:tcW w:type="dxa" w:w="1710"/>
          </w:tcPr>
          <w:p>
            <w:pPr>
              <w:spacing w:before="20" w:after="20" w:line="240" w:lineRule="exact"/>
              <w:jc w:val="center"/>
            </w:pPr>
            <w:r>
              <w:rPr>
                <w:rFonts w:ascii="Times New Roman" w:hAnsi="Times New Roman"/>
                <w:b w:val="0"/>
                <w:sz w:val="16"/>
              </w:rPr>
              <w:t>Cycle 1 Day 1-28</w:t>
            </w:r>
          </w:p>
        </w:tc>
        <w:tc>
          <w:tcPr>
            <w:tcW w:type="dxa" w:w="1710"/>
          </w:tcPr>
          <w:p>
            <w:pPr>
              <w:spacing w:before="20" w:after="20" w:line="240" w:lineRule="exact"/>
              <w:jc w:val="center"/>
            </w:pPr>
            <w:r>
              <w:rPr>
                <w:rFonts w:ascii="Times New Roman" w:hAnsi="Times New Roman"/>
                <w:b w:val="0"/>
                <w:sz w:val="16"/>
              </w:rPr>
              <w:t>Mucositis</w:t>
            </w:r>
          </w:p>
        </w:tc>
        <w:tc>
          <w:tcPr>
            <w:tcW w:type="dxa" w:w="1710"/>
          </w:tcPr>
          <w:p>
            <w:pPr>
              <w:spacing w:before="20" w:after="20" w:line="240" w:lineRule="exact"/>
              <w:jc w:val="center"/>
            </w:pPr>
            <w:r>
              <w:rPr>
                <w:rFonts w:ascii="Times New Roman" w:hAnsi="Times New Roman"/>
                <w:b w:val="0"/>
                <w:sz w:val="16"/>
              </w:rPr>
              <w:t>2</w:t>
            </w:r>
          </w:p>
        </w:tc>
        <w:tc>
          <w:tcPr>
            <w:tcW w:type="dxa" w:w="1710"/>
          </w:tcPr>
          <w:p>
            <w:pPr>
              <w:spacing w:before="20" w:after="20" w:line="240" w:lineRule="exact"/>
              <w:jc w:val="center"/>
            </w:pPr>
            <w:r>
              <w:rPr>
                <w:rFonts w:ascii="Times New Roman" w:hAnsi="Times New Roman"/>
                <w:b w:val="0"/>
                <w:sz w:val="16"/>
              </w:rPr>
              <w:t>N</w:t>
            </w:r>
          </w:p>
        </w:tc>
        <w:tc>
          <w:tcPr>
            <w:tcW w:type="dxa" w:w="1710"/>
          </w:tcPr>
          <w:p>
            <w:pPr>
              <w:spacing w:before="20" w:after="20" w:line="240" w:lineRule="exact"/>
              <w:jc w:val="center"/>
            </w:pPr>
            <w:r>
              <w:rPr>
                <w:rFonts w:ascii="Times New Roman" w:hAnsi="Times New Roman"/>
                <w:b w:val="0"/>
                <w:sz w:val="16"/>
              </w:rPr>
              <w:t>Y</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Includes DLT-evaluable and replacement-subject status per protocol-defined dose-escalation rules.</w:t>
      </w:r>
    </w:p>
    <w:p>
      <w:pPr>
        <w:spacing w:before="0" w:after="0"/>
      </w:pPr>
      <w:r>
        <w:rPr>
          <w:rFonts w:ascii="Times New Roman" w:hAnsi="Times New Roman"/>
          <w:i/>
          <w:sz w:val="16"/>
        </w:rPr>
        <w:t>[2] Dataset: ADSL, ADAE, ADEX. Program: l_dlt_review.sas.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16.2.33  Listing of Food-Effect / Crossover PK Samples by Subject, Period, and Timepoint</w:t>
      </w:r>
      <w:r>
        <w:bookmarkStart w:id="0" w:name="L16.2.33"/>
        <w:bookmarkEnd w:id="0"/>
      </w:r>
    </w:p>
    <w:p>
      <w:pPr>
        <w:keepNext/>
        <w:spacing w:before="40" w:after="160"/>
      </w:pPr>
      <w:r>
        <w:rPr>
          <w:rFonts w:ascii="Times New Roman" w:hAnsi="Times New Roman"/>
          <w:i/>
          <w:sz w:val="18"/>
        </w:rPr>
        <w:t>Analysis Set: PK Population in Food-Effect or Crossover Cohorts</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jc w:val="center"/>
            </w:pPr>
            <w:r>
              <w:rPr>
                <w:rFonts w:ascii="Times New Roman" w:hAnsi="Times New Roman"/>
                <w:b/>
                <w:sz w:val="18"/>
              </w:rPr>
              <w:t>Treatment Sequence</w:t>
            </w:r>
          </w:p>
        </w:tc>
        <w:tc>
          <w:tcPr>
            <w:tcW w:type="dxa" w:w="1710"/>
            <w:shd w:fill="F2F2F2" w:val="clear"/>
            <w:tcBorders>
              <w:bottom w:val="single" w:sz="4" w:space="0" w:color="000000"/>
            </w:tcBorders>
          </w:tcPr>
          <w:p>
            <w:pPr>
              <w:jc w:val="center"/>
            </w:pPr>
            <w:r>
              <w:rPr>
                <w:rFonts w:ascii="Times New Roman" w:hAnsi="Times New Roman"/>
                <w:b/>
                <w:sz w:val="18"/>
              </w:rPr>
              <w:t>Period</w:t>
            </w:r>
          </w:p>
        </w:tc>
        <w:tc>
          <w:tcPr>
            <w:tcW w:type="dxa" w:w="1710"/>
            <w:shd w:fill="F2F2F2" w:val="clear"/>
            <w:tcBorders>
              <w:bottom w:val="single" w:sz="4" w:space="0" w:color="000000"/>
            </w:tcBorders>
          </w:tcPr>
          <w:p>
            <w:pPr>
              <w:jc w:val="center"/>
            </w:pPr>
            <w:r>
              <w:rPr>
                <w:rFonts w:ascii="Times New Roman" w:hAnsi="Times New Roman"/>
                <w:b/>
                <w:sz w:val="18"/>
              </w:rPr>
              <w:t>Condition</w:t>
            </w:r>
          </w:p>
        </w:tc>
        <w:tc>
          <w:tcPr>
            <w:tcW w:type="dxa" w:w="1710"/>
            <w:shd w:fill="F2F2F2" w:val="clear"/>
            <w:tcBorders>
              <w:bottom w:val="single" w:sz="4" w:space="0" w:color="000000"/>
            </w:tcBorders>
          </w:tcPr>
          <w:p>
            <w:pPr>
              <w:jc w:val="center"/>
            </w:pPr>
            <w:r>
              <w:rPr>
                <w:rFonts w:ascii="Times New Roman" w:hAnsi="Times New Roman"/>
                <w:b/>
                <w:sz w:val="18"/>
              </w:rPr>
              <w:t>Nominal Time (h)</w:t>
            </w:r>
          </w:p>
        </w:tc>
        <w:tc>
          <w:tcPr>
            <w:tcW w:type="dxa" w:w="1710"/>
            <w:shd w:fill="F2F2F2" w:val="clear"/>
            <w:tcBorders>
              <w:bottom w:val="single" w:sz="4" w:space="0" w:color="000000"/>
            </w:tcBorders>
          </w:tcPr>
          <w:p>
            <w:pPr>
              <w:jc w:val="center"/>
            </w:pPr>
            <w:r>
              <w:rPr>
                <w:rFonts w:ascii="Times New Roman" w:hAnsi="Times New Roman"/>
                <w:b/>
                <w:sz w:val="18"/>
              </w:rPr>
              <w:t>Actual Time (h)</w:t>
            </w:r>
          </w:p>
        </w:tc>
        <w:tc>
          <w:tcPr>
            <w:tcW w:type="dxa" w:w="1710"/>
            <w:shd w:fill="F2F2F2" w:val="clear"/>
            <w:tcBorders>
              <w:bottom w:val="single" w:sz="4" w:space="0" w:color="000000"/>
            </w:tcBorders>
          </w:tcPr>
          <w:p>
            <w:pPr>
              <w:jc w:val="center"/>
            </w:pPr>
            <w:r>
              <w:rPr>
                <w:rFonts w:ascii="Times New Roman" w:hAnsi="Times New Roman"/>
                <w:b/>
                <w:sz w:val="18"/>
              </w:rPr>
              <w:t>Concentration (ng/mL)</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TR/RT</w:t>
            </w:r>
          </w:p>
        </w:tc>
        <w:tc>
          <w:tcPr>
            <w:tcW w:type="dxa" w:w="1710"/>
          </w:tcPr>
          <w:p>
            <w:pPr>
              <w:spacing w:before="20" w:after="20" w:line="240" w:lineRule="exact"/>
              <w:jc w:val="center"/>
            </w:pPr>
            <w:r>
              <w:rPr>
                <w:rFonts w:ascii="Times New Roman" w:hAnsi="Times New Roman"/>
                <w:b w:val="0"/>
                <w:sz w:val="16"/>
              </w:rPr>
              <w:t>1</w:t>
            </w:r>
          </w:p>
        </w:tc>
        <w:tc>
          <w:tcPr>
            <w:tcW w:type="dxa" w:w="1710"/>
          </w:tcPr>
          <w:p>
            <w:pPr>
              <w:spacing w:before="20" w:after="20" w:line="240" w:lineRule="exact"/>
              <w:jc w:val="center"/>
            </w:pPr>
            <w:r>
              <w:rPr>
                <w:rFonts w:ascii="Times New Roman" w:hAnsi="Times New Roman"/>
                <w:b w:val="0"/>
                <w:sz w:val="16"/>
              </w:rPr>
              <w:t>Fasted</w:t>
            </w:r>
          </w:p>
        </w:tc>
        <w:tc>
          <w:tcPr>
            <w:tcW w:type="dxa" w:w="1710"/>
          </w:tcPr>
          <w:p>
            <w:pPr>
              <w:spacing w:before="20" w:after="20" w:line="240" w:lineRule="exact"/>
              <w:jc w:val="center"/>
            </w:pPr>
            <w:r>
              <w:rPr>
                <w:rFonts w:ascii="Times New Roman" w:hAnsi="Times New Roman"/>
                <w:b w:val="0"/>
                <w:sz w:val="16"/>
              </w:rPr>
              <w:t>0.0</w:t>
            </w:r>
          </w:p>
        </w:tc>
        <w:tc>
          <w:tcPr>
            <w:tcW w:type="dxa" w:w="1710"/>
          </w:tcPr>
          <w:p>
            <w:pPr>
              <w:spacing w:before="20" w:after="20" w:line="240" w:lineRule="exact"/>
              <w:jc w:val="center"/>
            </w:pPr>
            <w:r>
              <w:rPr>
                <w:rFonts w:ascii="Times New Roman" w:hAnsi="Times New Roman"/>
                <w:b w:val="0"/>
                <w:sz w:val="16"/>
              </w:rPr>
              <w:t>0.00</w:t>
            </w:r>
          </w:p>
        </w:tc>
        <w:tc>
          <w:tcPr>
            <w:tcW w:type="dxa" w:w="1710"/>
          </w:tcPr>
          <w:p>
            <w:pPr>
              <w:spacing w:before="20" w:after="20" w:line="240" w:lineRule="exact"/>
              <w:jc w:val="center"/>
            </w:pPr>
            <w:r>
              <w:rPr>
                <w:rFonts w:ascii="Times New Roman" w:hAnsi="Times New Roman"/>
                <w:b w:val="0"/>
                <w:sz w:val="16"/>
              </w:rPr>
              <w:t>xx.x</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TR/RT</w:t>
            </w:r>
          </w:p>
        </w:tc>
        <w:tc>
          <w:tcPr>
            <w:tcW w:type="dxa" w:w="1710"/>
          </w:tcPr>
          <w:p>
            <w:pPr>
              <w:spacing w:before="20" w:after="20" w:line="240" w:lineRule="exact"/>
              <w:jc w:val="center"/>
            </w:pPr>
            <w:r>
              <w:rPr>
                <w:rFonts w:ascii="Times New Roman" w:hAnsi="Times New Roman"/>
                <w:b w:val="0"/>
                <w:sz w:val="16"/>
              </w:rPr>
              <w:t>1</w:t>
            </w:r>
          </w:p>
        </w:tc>
        <w:tc>
          <w:tcPr>
            <w:tcW w:type="dxa" w:w="1710"/>
          </w:tcPr>
          <w:p>
            <w:pPr>
              <w:spacing w:before="20" w:after="20" w:line="240" w:lineRule="exact"/>
              <w:jc w:val="center"/>
            </w:pPr>
            <w:r>
              <w:rPr>
                <w:rFonts w:ascii="Times New Roman" w:hAnsi="Times New Roman"/>
                <w:b w:val="0"/>
                <w:sz w:val="16"/>
              </w:rPr>
              <w:t>Fed</w:t>
            </w:r>
          </w:p>
        </w:tc>
        <w:tc>
          <w:tcPr>
            <w:tcW w:type="dxa" w:w="1710"/>
          </w:tcPr>
          <w:p>
            <w:pPr>
              <w:spacing w:before="20" w:after="20" w:line="240" w:lineRule="exact"/>
              <w:jc w:val="center"/>
            </w:pPr>
            <w:r>
              <w:rPr>
                <w:rFonts w:ascii="Times New Roman" w:hAnsi="Times New Roman"/>
                <w:b w:val="0"/>
                <w:sz w:val="16"/>
              </w:rPr>
              <w:t>2.0</w:t>
            </w:r>
          </w:p>
        </w:tc>
        <w:tc>
          <w:tcPr>
            <w:tcW w:type="dxa" w:w="1710"/>
          </w:tcPr>
          <w:p>
            <w:pPr>
              <w:spacing w:before="20" w:after="20" w:line="240" w:lineRule="exact"/>
              <w:jc w:val="center"/>
            </w:pPr>
            <w:r>
              <w:rPr>
                <w:rFonts w:ascii="Times New Roman" w:hAnsi="Times New Roman"/>
                <w:b w:val="0"/>
                <w:sz w:val="16"/>
              </w:rPr>
              <w:t>2.05</w:t>
            </w:r>
          </w:p>
        </w:tc>
        <w:tc>
          <w:tcPr>
            <w:tcW w:type="dxa" w:w="1710"/>
          </w:tcPr>
          <w:p>
            <w:pPr>
              <w:spacing w:before="20" w:after="20" w:line="240" w:lineRule="exact"/>
              <w:jc w:val="center"/>
            </w:pPr>
            <w:r>
              <w:rPr>
                <w:rFonts w:ascii="Times New Roman" w:hAnsi="Times New Roman"/>
                <w:b w:val="0"/>
                <w:sz w:val="16"/>
              </w:rPr>
              <w:t>xx.x</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Supports food-effect and crossover PK review by period, condition, and actual sampling time.</w:t>
      </w:r>
    </w:p>
    <w:p>
      <w:pPr>
        <w:spacing w:before="0" w:after="0"/>
      </w:pPr>
      <w:r>
        <w:rPr>
          <w:rFonts w:ascii="Times New Roman" w:hAnsi="Times New Roman"/>
          <w:i/>
          <w:sz w:val="16"/>
        </w:rPr>
        <w:t>[2] Dataset: ADSL, ADPC. Program: l_food_effect_pk.sas.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16.2.34  Listing of Protocol-Defined Clinical Events / Exacerbations</w:t>
      </w:r>
      <w:r>
        <w:bookmarkStart w:id="0" w:name="L16.2.34"/>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Event Category</w:t>
            </w:r>
          </w:p>
        </w:tc>
        <w:tc>
          <w:tcPr>
            <w:tcW w:type="dxa" w:w="1520"/>
            <w:shd w:fill="F2F2F2" w:val="clear"/>
            <w:tcBorders>
              <w:bottom w:val="single" w:sz="4" w:space="0" w:color="000000"/>
            </w:tcBorders>
          </w:tcPr>
          <w:p>
            <w:pPr>
              <w:jc w:val="center"/>
            </w:pPr>
            <w:r>
              <w:rPr>
                <w:rFonts w:ascii="Times New Roman" w:hAnsi="Times New Roman"/>
                <w:b/>
                <w:sz w:val="18"/>
              </w:rPr>
              <w:t>Event Term</w:t>
            </w:r>
          </w:p>
        </w:tc>
        <w:tc>
          <w:tcPr>
            <w:tcW w:type="dxa" w:w="1520"/>
            <w:shd w:fill="F2F2F2" w:val="clear"/>
            <w:tcBorders>
              <w:bottom w:val="single" w:sz="4" w:space="0" w:color="000000"/>
            </w:tcBorders>
          </w:tcPr>
          <w:p>
            <w:pPr>
              <w:jc w:val="center"/>
            </w:pPr>
            <w:r>
              <w:rPr>
                <w:rFonts w:ascii="Times New Roman" w:hAnsi="Times New Roman"/>
                <w:b/>
                <w:sz w:val="18"/>
              </w:rPr>
              <w:t>Start Date</w:t>
            </w:r>
          </w:p>
        </w:tc>
        <w:tc>
          <w:tcPr>
            <w:tcW w:type="dxa" w:w="1520"/>
            <w:shd w:fill="F2F2F2" w:val="clear"/>
            <w:tcBorders>
              <w:bottom w:val="single" w:sz="4" w:space="0" w:color="000000"/>
            </w:tcBorders>
          </w:tcPr>
          <w:p>
            <w:pPr>
              <w:jc w:val="center"/>
            </w:pPr>
            <w:r>
              <w:rPr>
                <w:rFonts w:ascii="Times New Roman" w:hAnsi="Times New Roman"/>
                <w:b/>
                <w:sz w:val="18"/>
              </w:rPr>
              <w:t>End Date</w:t>
            </w:r>
          </w:p>
        </w:tc>
        <w:tc>
          <w:tcPr>
            <w:tcW w:type="dxa" w:w="1520"/>
            <w:shd w:fill="F2F2F2" w:val="clear"/>
            <w:tcBorders>
              <w:bottom w:val="single" w:sz="4" w:space="0" w:color="000000"/>
            </w:tcBorders>
          </w:tcPr>
          <w:p>
            <w:pPr>
              <w:jc w:val="center"/>
            </w:pPr>
            <w:r>
              <w:rPr>
                <w:rFonts w:ascii="Times New Roman" w:hAnsi="Times New Roman"/>
                <w:b/>
                <w:sz w:val="18"/>
              </w:rPr>
              <w:t>Hospitalization?</w:t>
            </w:r>
          </w:p>
        </w:tc>
        <w:tc>
          <w:tcPr>
            <w:tcW w:type="dxa" w:w="1520"/>
            <w:shd w:fill="F2F2F2" w:val="clear"/>
            <w:tcBorders>
              <w:bottom w:val="single" w:sz="4" w:space="0" w:color="000000"/>
            </w:tcBorders>
          </w:tcPr>
          <w:p>
            <w:pPr>
              <w:jc w:val="center"/>
            </w:pPr>
            <w:r>
              <w:rPr>
                <w:rFonts w:ascii="Times New Roman" w:hAnsi="Times New Roman"/>
                <w:b/>
                <w:sz w:val="18"/>
              </w:rPr>
              <w:t>Adjudicated?</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Exacerbation</w:t>
            </w:r>
          </w:p>
        </w:tc>
        <w:tc>
          <w:tcPr>
            <w:tcW w:type="dxa" w:w="1520"/>
          </w:tcPr>
          <w:p>
            <w:pPr>
              <w:spacing w:before="20" w:after="20" w:line="240" w:lineRule="exact"/>
              <w:jc w:val="center"/>
            </w:pPr>
            <w:r>
              <w:rPr>
                <w:rFonts w:ascii="Times New Roman" w:hAnsi="Times New Roman"/>
                <w:b w:val="0"/>
                <w:sz w:val="16"/>
              </w:rPr>
              <w:t>Moderate exacerbation</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N</w:t>
            </w:r>
          </w:p>
        </w:tc>
        <w:tc>
          <w:tcPr>
            <w:tcW w:type="dxa" w:w="1520"/>
          </w:tcPr>
          <w:p>
            <w:pPr>
              <w:spacing w:before="20" w:after="20" w:line="240" w:lineRule="exact"/>
              <w:jc w:val="center"/>
            </w:pPr>
            <w:r>
              <w:rPr>
                <w:rFonts w:ascii="Times New Roman" w:hAnsi="Times New Roman"/>
                <w:b w:val="0"/>
                <w:sz w:val="16"/>
              </w:rPr>
              <w:t>Y</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center"/>
            </w:pPr>
            <w:r>
              <w:rPr>
                <w:rFonts w:ascii="Times New Roman" w:hAnsi="Times New Roman"/>
                <w:b w:val="0"/>
                <w:sz w:val="16"/>
              </w:rPr>
              <w:t>xxxx/xxx</w:t>
            </w:r>
          </w:p>
        </w:tc>
        <w:tc>
          <w:tcPr>
            <w:tcW w:type="dxa" w:w="1520"/>
          </w:tcPr>
          <w:p>
            <w:pPr>
              <w:spacing w:before="20" w:after="20" w:line="240" w:lineRule="exact"/>
              <w:jc w:val="center"/>
            </w:pPr>
            <w:r>
              <w:rPr>
                <w:rFonts w:ascii="Times New Roman" w:hAnsi="Times New Roman"/>
                <w:b w:val="0"/>
                <w:sz w:val="16"/>
              </w:rPr>
              <w:t>Group</w:t>
            </w:r>
          </w:p>
        </w:tc>
        <w:tc>
          <w:tcPr>
            <w:tcW w:type="dxa" w:w="1520"/>
          </w:tcPr>
          <w:p>
            <w:pPr>
              <w:spacing w:before="20" w:after="20" w:line="240" w:lineRule="exact"/>
              <w:jc w:val="center"/>
            </w:pPr>
            <w:r>
              <w:rPr>
                <w:rFonts w:ascii="Times New Roman" w:hAnsi="Times New Roman"/>
                <w:b w:val="0"/>
                <w:sz w:val="16"/>
              </w:rPr>
              <w:t>Clinical Event</w:t>
            </w:r>
          </w:p>
        </w:tc>
        <w:tc>
          <w:tcPr>
            <w:tcW w:type="dxa" w:w="1520"/>
          </w:tcPr>
          <w:p>
            <w:pPr>
              <w:spacing w:before="20" w:after="20" w:line="240" w:lineRule="exact"/>
              <w:jc w:val="center"/>
            </w:pPr>
            <w:r>
              <w:rPr>
                <w:rFonts w:ascii="Times New Roman" w:hAnsi="Times New Roman"/>
                <w:b w:val="0"/>
                <w:sz w:val="16"/>
              </w:rPr>
              <w:t>Composite endpoint component</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DDMMMYYYY</w:t>
            </w:r>
          </w:p>
        </w:tc>
        <w:tc>
          <w:tcPr>
            <w:tcW w:type="dxa" w:w="1520"/>
          </w:tcPr>
          <w:p>
            <w:pPr>
              <w:spacing w:before="20" w:after="20" w:line="240" w:lineRule="exact"/>
              <w:jc w:val="center"/>
            </w:pPr>
            <w:r>
              <w:rPr>
                <w:rFonts w:ascii="Times New Roman" w:hAnsi="Times New Roman"/>
                <w:b w:val="0"/>
                <w:sz w:val="16"/>
              </w:rPr>
              <w:t>Y</w:t>
            </w:r>
          </w:p>
        </w:tc>
        <w:tc>
          <w:tcPr>
            <w:tcW w:type="dxa" w:w="1520"/>
          </w:tcPr>
          <w:p>
            <w:pPr>
              <w:spacing w:before="20" w:after="20" w:line="240" w:lineRule="exact"/>
              <w:jc w:val="center"/>
            </w:pPr>
            <w:r>
              <w:rPr>
                <w:rFonts w:ascii="Times New Roman" w:hAnsi="Times New Roman"/>
                <w:b w:val="0"/>
                <w:sz w:val="16"/>
              </w:rPr>
              <w:t>Y</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c>
          <w:tcPr>
            <w:tcW w:type="dxa" w:w="152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Event definitions, adjudication rules, and hospitalization criteria per protocol and SAP.</w:t>
      </w:r>
    </w:p>
    <w:p>
      <w:pPr>
        <w:spacing w:before="0" w:after="0"/>
      </w:pPr>
      <w:r>
        <w:rPr>
          <w:rFonts w:ascii="Times New Roman" w:hAnsi="Times New Roman"/>
          <w:i/>
          <w:sz w:val="16"/>
        </w:rPr>
        <w:t>[2] Dataset: ADSL, ADEFF, ADTTE. Program: l_clinical_events.sas.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16.2.35  Listing of Respiratory Exacerbations and Acute Management</w:t>
      </w:r>
      <w:r>
        <w:bookmarkStart w:id="0" w:name="L16.2.35"/>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jc w:val="center"/>
            </w:pPr>
            <w:r>
              <w:rPr>
                <w:rFonts w:ascii="Times New Roman" w:hAnsi="Times New Roman"/>
                <w:b/>
                <w:sz w:val="18"/>
              </w:rPr>
              <w:t>Group</w:t>
            </w:r>
          </w:p>
        </w:tc>
        <w:tc>
          <w:tcPr>
            <w:tcW w:type="dxa" w:w="1710"/>
            <w:shd w:fill="F2F2F2" w:val="clear"/>
            <w:tcBorders>
              <w:bottom w:val="single" w:sz="4" w:space="0" w:color="000000"/>
            </w:tcBorders>
          </w:tcPr>
          <w:p>
            <w:pPr>
              <w:jc w:val="center"/>
            </w:pPr>
            <w:r>
              <w:rPr>
                <w:rFonts w:ascii="Times New Roman" w:hAnsi="Times New Roman"/>
                <w:b/>
                <w:sz w:val="18"/>
              </w:rPr>
              <w:t>Exacerbation Severity</w:t>
            </w:r>
          </w:p>
        </w:tc>
        <w:tc>
          <w:tcPr>
            <w:tcW w:type="dxa" w:w="1710"/>
            <w:shd w:fill="F2F2F2" w:val="clear"/>
            <w:tcBorders>
              <w:bottom w:val="single" w:sz="4" w:space="0" w:color="000000"/>
            </w:tcBorders>
          </w:tcPr>
          <w:p>
            <w:pPr>
              <w:jc w:val="center"/>
            </w:pPr>
            <w:r>
              <w:rPr>
                <w:rFonts w:ascii="Times New Roman" w:hAnsi="Times New Roman"/>
                <w:b/>
                <w:sz w:val="18"/>
              </w:rPr>
              <w:t>Onset Date</w:t>
            </w:r>
          </w:p>
        </w:tc>
        <w:tc>
          <w:tcPr>
            <w:tcW w:type="dxa" w:w="1710"/>
            <w:shd w:fill="F2F2F2" w:val="clear"/>
            <w:tcBorders>
              <w:bottom w:val="single" w:sz="4" w:space="0" w:color="000000"/>
            </w:tcBorders>
          </w:tcPr>
          <w:p>
            <w:pPr>
              <w:jc w:val="center"/>
            </w:pPr>
            <w:r>
              <w:rPr>
                <w:rFonts w:ascii="Times New Roman" w:hAnsi="Times New Roman"/>
                <w:b/>
                <w:sz w:val="18"/>
              </w:rPr>
              <w:t>Resolution Date</w:t>
            </w:r>
          </w:p>
        </w:tc>
        <w:tc>
          <w:tcPr>
            <w:tcW w:type="dxa" w:w="1710"/>
            <w:shd w:fill="F2F2F2" w:val="clear"/>
            <w:tcBorders>
              <w:bottom w:val="single" w:sz="4" w:space="0" w:color="000000"/>
            </w:tcBorders>
          </w:tcPr>
          <w:p>
            <w:pPr>
              <w:spacing w:before="0" w:after="0"/>
              <w:jc w:val="center"/>
            </w:pPr>
            <w:r>
              <w:rPr>
                <w:rFonts w:ascii="Times New Roman" w:hAnsi="Times New Roman"/>
                <w:b/>
                <w:sz w:val="18"/>
              </w:rPr>
              <w:t>Systemic Corticosteroids /</w:t>
            </w:r>
          </w:p>
          <w:p>
            <w:pPr>
              <w:spacing w:before="0" w:after="0"/>
              <w:jc w:val="center"/>
            </w:pPr>
            <w:r>
              <w:rPr>
                <w:rFonts w:ascii="Times New Roman" w:hAnsi="Times New Roman"/>
                <w:b/>
                <w:sz w:val="18"/>
              </w:rPr>
              <w:t>Antibiotics?</w:t>
            </w:r>
          </w:p>
        </w:tc>
        <w:tc>
          <w:tcPr>
            <w:tcW w:type="dxa" w:w="1710"/>
            <w:shd w:fill="F2F2F2" w:val="clear"/>
            <w:tcBorders>
              <w:bottom w:val="single" w:sz="4" w:space="0" w:color="000000"/>
            </w:tcBorders>
          </w:tcPr>
          <w:p>
            <w:pPr>
              <w:jc w:val="center"/>
            </w:pPr>
            <w:r>
              <w:rPr>
                <w:rFonts w:ascii="Times New Roman" w:hAnsi="Times New Roman"/>
                <w:b/>
                <w:sz w:val="18"/>
              </w:rPr>
              <w:t>Hospitalization?</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Moderate</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Y</w:t>
            </w:r>
          </w:p>
        </w:tc>
        <w:tc>
          <w:tcPr>
            <w:tcW w:type="dxa" w:w="1710"/>
          </w:tcPr>
          <w:p>
            <w:pPr>
              <w:spacing w:before="20" w:after="20" w:line="240" w:lineRule="exact"/>
              <w:jc w:val="center"/>
            </w:pPr>
            <w:r>
              <w:rPr>
                <w:rFonts w:ascii="Times New Roman" w:hAnsi="Times New Roman"/>
                <w:b w:val="0"/>
                <w:sz w:val="16"/>
              </w:rPr>
              <w:t>N</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Severe</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Y</w:t>
            </w:r>
          </w:p>
        </w:tc>
        <w:tc>
          <w:tcPr>
            <w:tcW w:type="dxa" w:w="1710"/>
          </w:tcPr>
          <w:p>
            <w:pPr>
              <w:spacing w:before="20" w:after="20" w:line="240" w:lineRule="exact"/>
              <w:jc w:val="center"/>
            </w:pPr>
            <w:r>
              <w:rPr>
                <w:rFonts w:ascii="Times New Roman" w:hAnsi="Times New Roman"/>
                <w:b w:val="0"/>
                <w:sz w:val="16"/>
              </w:rPr>
              <w:t>Y</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Moderate and severe respiratory exacerbations are listed with protocol-defined acute management details.</w:t>
      </w:r>
    </w:p>
    <w:p>
      <w:pPr>
        <w:spacing w:before="0" w:after="0"/>
      </w:pPr>
      <w:r>
        <w:rPr>
          <w:rFonts w:ascii="Times New Roman" w:hAnsi="Times New Roman"/>
          <w:i/>
          <w:sz w:val="16"/>
        </w:rPr>
        <w:t>[2] Dataset: ADSL, ADEFF, ADAE. Program: l_resp_exac.sas.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16.2.36  Listing of Adjudicated Cardiovascular Events and Heart Failure Hospitalizations</w:t>
      </w:r>
      <w:r>
        <w:bookmarkStart w:id="0" w:name="L16.2.36"/>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jc w:val="center"/>
            </w:pPr>
            <w:r>
              <w:rPr>
                <w:rFonts w:ascii="Times New Roman" w:hAnsi="Times New Roman"/>
                <w:b/>
                <w:sz w:val="18"/>
              </w:rPr>
              <w:t>Group</w:t>
            </w:r>
          </w:p>
        </w:tc>
        <w:tc>
          <w:tcPr>
            <w:tcW w:type="dxa" w:w="1710"/>
            <w:shd w:fill="F2F2F2" w:val="clear"/>
            <w:tcBorders>
              <w:bottom w:val="single" w:sz="4" w:space="0" w:color="000000"/>
            </w:tcBorders>
          </w:tcPr>
          <w:p>
            <w:pPr>
              <w:jc w:val="center"/>
            </w:pPr>
            <w:r>
              <w:rPr>
                <w:rFonts w:ascii="Times New Roman" w:hAnsi="Times New Roman"/>
                <w:b/>
                <w:sz w:val="18"/>
              </w:rPr>
              <w:t>Adjudicated Event</w:t>
            </w:r>
          </w:p>
        </w:tc>
        <w:tc>
          <w:tcPr>
            <w:tcW w:type="dxa" w:w="1710"/>
            <w:shd w:fill="F2F2F2" w:val="clear"/>
            <w:tcBorders>
              <w:bottom w:val="single" w:sz="4" w:space="0" w:color="000000"/>
            </w:tcBorders>
          </w:tcPr>
          <w:p>
            <w:pPr>
              <w:jc w:val="center"/>
            </w:pPr>
            <w:r>
              <w:rPr>
                <w:rFonts w:ascii="Times New Roman" w:hAnsi="Times New Roman"/>
                <w:b/>
                <w:sz w:val="18"/>
              </w:rPr>
              <w:t>Event Date</w:t>
            </w:r>
          </w:p>
        </w:tc>
        <w:tc>
          <w:tcPr>
            <w:tcW w:type="dxa" w:w="1710"/>
            <w:shd w:fill="F2F2F2" w:val="clear"/>
            <w:tcBorders>
              <w:bottom w:val="single" w:sz="4" w:space="0" w:color="000000"/>
            </w:tcBorders>
          </w:tcPr>
          <w:p>
            <w:pPr>
              <w:jc w:val="center"/>
            </w:pPr>
            <w:r>
              <w:rPr>
                <w:rFonts w:ascii="Times New Roman" w:hAnsi="Times New Roman"/>
                <w:b/>
                <w:sz w:val="18"/>
              </w:rPr>
              <w:t>Hospitalization Start</w:t>
            </w:r>
          </w:p>
        </w:tc>
        <w:tc>
          <w:tcPr>
            <w:tcW w:type="dxa" w:w="1710"/>
            <w:shd w:fill="F2F2F2" w:val="clear"/>
            <w:tcBorders>
              <w:bottom w:val="single" w:sz="4" w:space="0" w:color="000000"/>
            </w:tcBorders>
          </w:tcPr>
          <w:p>
            <w:pPr>
              <w:jc w:val="center"/>
            </w:pPr>
            <w:r>
              <w:rPr>
                <w:rFonts w:ascii="Times New Roman" w:hAnsi="Times New Roman"/>
                <w:b/>
                <w:sz w:val="18"/>
              </w:rPr>
              <w:t>Hospitalization End</w:t>
            </w:r>
          </w:p>
        </w:tc>
        <w:tc>
          <w:tcPr>
            <w:tcW w:type="dxa" w:w="1710"/>
            <w:shd w:fill="F2F2F2" w:val="clear"/>
            <w:tcBorders>
              <w:bottom w:val="single" w:sz="4" w:space="0" w:color="000000"/>
            </w:tcBorders>
          </w:tcPr>
          <w:p>
            <w:pPr>
              <w:jc w:val="center"/>
            </w:pPr>
            <w:r>
              <w:rPr>
                <w:rFonts w:ascii="Times New Roman" w:hAnsi="Times New Roman"/>
                <w:b/>
                <w:sz w:val="18"/>
              </w:rPr>
              <w:t>Outcome</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Non-fatal Myocardial Infarction</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Recovered</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Heart Failure Hospitalization</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Ongoing / Recovered</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Events are adjudicated per cardiovascular endpoint charter where applicable.</w:t>
      </w:r>
    </w:p>
    <w:p>
      <w:pPr>
        <w:spacing w:before="0" w:after="0"/>
      </w:pPr>
      <w:r>
        <w:rPr>
          <w:rFonts w:ascii="Times New Roman" w:hAnsi="Times New Roman"/>
          <w:i/>
          <w:sz w:val="16"/>
        </w:rPr>
        <w:t>[2] Dataset: ADSL, ADTTE, ADAE. Program: l_cv_events.sas.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16.2.37  Listing of Autoimmune Flares, Rescue Therapy, and Corticosteroid Escalation</w:t>
      </w:r>
      <w:r>
        <w:bookmarkStart w:id="0" w:name="L16.2.37"/>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Intent-to-Treat (ITT) Population</w:t>
      </w:r>
    </w:p>
    <w:p>
      <w:pPr>
        <w:keepNext/>
        <w:spacing w:before="40" w:after="60"/>
      </w:pPr>
      <w:r>
        <w:rPr>
          <w:rFonts w:ascii="Times New Roman" w:hAnsi="Times New Roman"/>
          <w:i/>
          <w:sz w:val="16"/>
        </w:rPr>
        <w:t>Note: Sorted by site and subject ID.</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10"/>
        <w:gridCol w:w="1710"/>
        <w:gridCol w:w="1710"/>
        <w:gridCol w:w="1710"/>
        <w:gridCol w:w="1710"/>
        <w:gridCol w:w="1710"/>
        <w:gridCol w:w="1710"/>
        <w:gridCol w:w="1710"/>
      </w:tblGrid>
      <w:tr>
        <w:trPr>
          <w:tblHeader w:val="true"/>
        </w:trPr>
        <w:tc>
          <w:tcPr>
            <w:tcW w:type="dxa" w:w="1710"/>
            <w:shd w:fill="F2F2F2" w:val="clear"/>
            <w:tcBorders>
              <w:bottom w:val="single" w:sz="4" w:space="0" w:color="000000"/>
            </w:tcBorders>
          </w:tcPr>
          <w:p>
            <w:pPr>
              <w:jc w:val="left"/>
            </w:pPr>
            <w:r>
              <w:rPr>
                <w:rFonts w:ascii="Times New Roman" w:hAnsi="Times New Roman"/>
                <w:b/>
                <w:sz w:val="18"/>
              </w:rPr>
              <w:t>Site</w:t>
            </w:r>
          </w:p>
        </w:tc>
        <w:tc>
          <w:tcPr>
            <w:tcW w:type="dxa" w:w="1710"/>
            <w:shd w:fill="F2F2F2" w:val="clear"/>
            <w:tcBorders>
              <w:bottom w:val="single" w:sz="4" w:space="0" w:color="000000"/>
            </w:tcBorders>
          </w:tcPr>
          <w:p>
            <w:pPr>
              <w:jc w:val="center"/>
            </w:pPr>
            <w:r>
              <w:rPr>
                <w:rFonts w:ascii="Times New Roman" w:hAnsi="Times New Roman"/>
                <w:b/>
                <w:sz w:val="18"/>
              </w:rPr>
              <w:t>Subject</w:t>
            </w:r>
          </w:p>
        </w:tc>
        <w:tc>
          <w:tcPr>
            <w:tcW w:type="dxa" w:w="1710"/>
            <w:shd w:fill="F2F2F2" w:val="clear"/>
            <w:tcBorders>
              <w:bottom w:val="single" w:sz="4" w:space="0" w:color="000000"/>
            </w:tcBorders>
          </w:tcPr>
          <w:p>
            <w:pPr>
              <w:jc w:val="center"/>
            </w:pPr>
            <w:r>
              <w:rPr>
                <w:rFonts w:ascii="Times New Roman" w:hAnsi="Times New Roman"/>
                <w:b/>
                <w:sz w:val="18"/>
              </w:rPr>
              <w:t>Group</w:t>
            </w:r>
          </w:p>
        </w:tc>
        <w:tc>
          <w:tcPr>
            <w:tcW w:type="dxa" w:w="1710"/>
            <w:shd w:fill="F2F2F2" w:val="clear"/>
            <w:tcBorders>
              <w:bottom w:val="single" w:sz="4" w:space="0" w:color="000000"/>
            </w:tcBorders>
          </w:tcPr>
          <w:p>
            <w:pPr>
              <w:jc w:val="center"/>
            </w:pPr>
            <w:r>
              <w:rPr>
                <w:rFonts w:ascii="Times New Roman" w:hAnsi="Times New Roman"/>
                <w:b/>
                <w:sz w:val="18"/>
              </w:rPr>
              <w:t>Flare Category</w:t>
            </w:r>
          </w:p>
        </w:tc>
        <w:tc>
          <w:tcPr>
            <w:tcW w:type="dxa" w:w="1710"/>
            <w:shd w:fill="F2F2F2" w:val="clear"/>
            <w:tcBorders>
              <w:bottom w:val="single" w:sz="4" w:space="0" w:color="000000"/>
            </w:tcBorders>
          </w:tcPr>
          <w:p>
            <w:pPr>
              <w:jc w:val="center"/>
            </w:pPr>
            <w:r>
              <w:rPr>
                <w:rFonts w:ascii="Times New Roman" w:hAnsi="Times New Roman"/>
                <w:b/>
                <w:sz w:val="18"/>
              </w:rPr>
              <w:t>Flare Date</w:t>
            </w:r>
          </w:p>
        </w:tc>
        <w:tc>
          <w:tcPr>
            <w:tcW w:type="dxa" w:w="1710"/>
            <w:shd w:fill="F2F2F2" w:val="clear"/>
            <w:tcBorders>
              <w:bottom w:val="single" w:sz="4" w:space="0" w:color="000000"/>
            </w:tcBorders>
          </w:tcPr>
          <w:p>
            <w:pPr>
              <w:jc w:val="center"/>
            </w:pPr>
            <w:r>
              <w:rPr>
                <w:rFonts w:ascii="Times New Roman" w:hAnsi="Times New Roman"/>
                <w:b/>
                <w:sz w:val="18"/>
              </w:rPr>
              <w:t>Rescue Therapy</w:t>
            </w:r>
          </w:p>
        </w:tc>
        <w:tc>
          <w:tcPr>
            <w:tcW w:type="dxa" w:w="1710"/>
            <w:shd w:fill="F2F2F2" w:val="clear"/>
            <w:tcBorders>
              <w:bottom w:val="single" w:sz="4" w:space="0" w:color="000000"/>
            </w:tcBorders>
          </w:tcPr>
          <w:p>
            <w:pPr>
              <w:jc w:val="center"/>
            </w:pPr>
            <w:r>
              <w:rPr>
                <w:rFonts w:ascii="Times New Roman" w:hAnsi="Times New Roman"/>
                <w:b/>
                <w:sz w:val="18"/>
              </w:rPr>
              <w:t>Steroid Escalation?</w:t>
            </w:r>
          </w:p>
        </w:tc>
        <w:tc>
          <w:tcPr>
            <w:tcW w:type="dxa" w:w="1710"/>
            <w:shd w:fill="F2F2F2" w:val="clear"/>
            <w:tcBorders>
              <w:bottom w:val="single" w:sz="4" w:space="0" w:color="000000"/>
            </w:tcBorders>
          </w:tcPr>
          <w:p>
            <w:pPr>
              <w:jc w:val="center"/>
            </w:pPr>
            <w:r>
              <w:rPr>
                <w:rFonts w:ascii="Times New Roman" w:hAnsi="Times New Roman"/>
                <w:b/>
                <w:sz w:val="18"/>
              </w:rPr>
              <w:t>Responder Status</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Joint Flare</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Methotrexate</w:t>
            </w:r>
          </w:p>
        </w:tc>
        <w:tc>
          <w:tcPr>
            <w:tcW w:type="dxa" w:w="1710"/>
          </w:tcPr>
          <w:p>
            <w:pPr>
              <w:spacing w:before="20" w:after="20" w:line="240" w:lineRule="exact"/>
              <w:jc w:val="center"/>
            </w:pPr>
            <w:r>
              <w:rPr>
                <w:rFonts w:ascii="Times New Roman" w:hAnsi="Times New Roman"/>
                <w:b w:val="0"/>
                <w:sz w:val="16"/>
              </w:rPr>
              <w:t>Y</w:t>
            </w:r>
          </w:p>
        </w:tc>
        <w:tc>
          <w:tcPr>
            <w:tcW w:type="dxa" w:w="1710"/>
          </w:tcPr>
          <w:p>
            <w:pPr>
              <w:spacing w:before="20" w:after="20" w:line="240" w:lineRule="exact"/>
              <w:jc w:val="center"/>
            </w:pPr>
            <w:r>
              <w:rPr>
                <w:rFonts w:ascii="Times New Roman" w:hAnsi="Times New Roman"/>
                <w:b w:val="0"/>
                <w:sz w:val="16"/>
              </w:rPr>
              <w:t>Non-Responder</w:t>
            </w:r>
          </w:p>
        </w:tc>
      </w:tr>
      <w:tr>
        <w:tc>
          <w:tcPr>
            <w:tcW w:type="dxa" w:w="1710"/>
          </w:tcPr>
          <w:p>
            <w:pPr>
              <w:spacing w:before="20" w:after="20" w:line="240" w:lineRule="exact"/>
              <w:jc w:val="left"/>
            </w:pPr>
            <w:r>
              <w:rPr>
                <w:rFonts w:ascii="Times New Roman" w:hAnsi="Times New Roman"/>
                <w:b w:val="0"/>
                <w:sz w:val="16"/>
              </w:rPr>
              <w:t>xxx</w:t>
            </w:r>
          </w:p>
        </w:tc>
        <w:tc>
          <w:tcPr>
            <w:tcW w:type="dxa" w:w="1710"/>
          </w:tcPr>
          <w:p>
            <w:pPr>
              <w:spacing w:before="20" w:after="20" w:line="240" w:lineRule="exact"/>
              <w:jc w:val="center"/>
            </w:pPr>
            <w:r>
              <w:rPr>
                <w:rFonts w:ascii="Times New Roman" w:hAnsi="Times New Roman"/>
                <w:b w:val="0"/>
                <w:sz w:val="16"/>
              </w:rPr>
              <w:t>xxxx/xxx</w:t>
            </w:r>
          </w:p>
        </w:tc>
        <w:tc>
          <w:tcPr>
            <w:tcW w:type="dxa" w:w="1710"/>
          </w:tcPr>
          <w:p>
            <w:pPr>
              <w:spacing w:before="20" w:after="20" w:line="240" w:lineRule="exact"/>
              <w:jc w:val="center"/>
            </w:pPr>
            <w:r>
              <w:rPr>
                <w:rFonts w:ascii="Times New Roman" w:hAnsi="Times New Roman"/>
                <w:b w:val="0"/>
                <w:sz w:val="16"/>
              </w:rPr>
              <w:t>Group</w:t>
            </w:r>
          </w:p>
        </w:tc>
        <w:tc>
          <w:tcPr>
            <w:tcW w:type="dxa" w:w="1710"/>
          </w:tcPr>
          <w:p>
            <w:pPr>
              <w:spacing w:before="20" w:after="20" w:line="240" w:lineRule="exact"/>
              <w:jc w:val="center"/>
            </w:pPr>
            <w:r>
              <w:rPr>
                <w:rFonts w:ascii="Times New Roman" w:hAnsi="Times New Roman"/>
                <w:b w:val="0"/>
                <w:sz w:val="16"/>
              </w:rPr>
              <w:t>Skin Flare</w:t>
            </w:r>
          </w:p>
        </w:tc>
        <w:tc>
          <w:tcPr>
            <w:tcW w:type="dxa" w:w="1710"/>
          </w:tcPr>
          <w:p>
            <w:pPr>
              <w:spacing w:before="20" w:after="20" w:line="240" w:lineRule="exact"/>
              <w:jc w:val="center"/>
            </w:pPr>
            <w:r>
              <w:rPr>
                <w:rFonts w:ascii="Times New Roman" w:hAnsi="Times New Roman"/>
                <w:b w:val="0"/>
                <w:sz w:val="16"/>
              </w:rPr>
              <w:t>DDMMMYYYY</w:t>
            </w:r>
          </w:p>
        </w:tc>
        <w:tc>
          <w:tcPr>
            <w:tcW w:type="dxa" w:w="1710"/>
          </w:tcPr>
          <w:p>
            <w:pPr>
              <w:spacing w:before="20" w:after="20" w:line="240" w:lineRule="exact"/>
              <w:jc w:val="center"/>
            </w:pPr>
            <w:r>
              <w:rPr>
                <w:rFonts w:ascii="Times New Roman" w:hAnsi="Times New Roman"/>
                <w:b w:val="0"/>
                <w:sz w:val="16"/>
              </w:rPr>
              <w:t>Topical / Systemic therapy</w:t>
            </w:r>
          </w:p>
        </w:tc>
        <w:tc>
          <w:tcPr>
            <w:tcW w:type="dxa" w:w="1710"/>
          </w:tcPr>
          <w:p>
            <w:pPr>
              <w:spacing w:before="20" w:after="20" w:line="240" w:lineRule="exact"/>
              <w:jc w:val="center"/>
            </w:pPr>
            <w:r>
              <w:rPr>
                <w:rFonts w:ascii="Times New Roman" w:hAnsi="Times New Roman"/>
                <w:b w:val="0"/>
                <w:sz w:val="16"/>
              </w:rPr>
              <w:t>N</w:t>
            </w:r>
          </w:p>
        </w:tc>
        <w:tc>
          <w:tcPr>
            <w:tcW w:type="dxa" w:w="1710"/>
          </w:tcPr>
          <w:p>
            <w:pPr>
              <w:spacing w:before="20" w:after="20" w:line="240" w:lineRule="exact"/>
              <w:jc w:val="center"/>
            </w:pPr>
            <w:r>
              <w:rPr>
                <w:rFonts w:ascii="Times New Roman" w:hAnsi="Times New Roman"/>
                <w:b w:val="0"/>
                <w:sz w:val="16"/>
              </w:rPr>
              <w:t>Responder</w:t>
            </w:r>
          </w:p>
        </w:tc>
      </w:tr>
      <w:tr>
        <w:tc>
          <w:tcPr>
            <w:tcW w:type="dxa" w:w="1710"/>
          </w:tcPr>
          <w:p>
            <w:pPr>
              <w:spacing w:before="20" w:after="20" w:line="240" w:lineRule="exact"/>
              <w:jc w:val="left"/>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c>
          <w:tcPr>
            <w:tcW w:type="dxa" w:w="1710"/>
          </w:tcPr>
          <w:p>
            <w:pPr>
              <w:spacing w:before="20" w:after="20" w:line="240" w:lineRule="exact"/>
              <w:jc w:val="center"/>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Flare and rescue-therapy events reflect protocol-defined autoimmune disease activity rules.</w:t>
      </w:r>
    </w:p>
    <w:p>
      <w:pPr>
        <w:spacing w:before="0" w:after="0"/>
      </w:pPr>
      <w:r>
        <w:rPr>
          <w:rFonts w:ascii="Times New Roman" w:hAnsi="Times New Roman"/>
          <w:i/>
          <w:sz w:val="16"/>
        </w:rPr>
        <w:t>[2] Dataset: ADSL, ADCM, ADEFF. Program: l_autoimmune_flare.sas.</w:t>
      </w:r>
      <w:r>
        <w:br w:type="page"/>
      </w:r>
    </w:p>
    <w:p>
      <w:pPr>
        <w:keepNext/>
        <w:tabs>
          <w:tab w:pos="13680" w:val="right"/>
        </w:tabs>
        <w:spacing w:before="0" w:after="20"/>
      </w:pPr>
      <w:r>
        <w:rPr>
          <w:rFonts w:ascii="Times New Roman" w:hAnsi="Times New Roman"/>
          <w:sz w:val="18"/>
        </w:rPr>
        <w:t>Sponsor: [Sponsor Name]</w:t>
      </w:r>
      <w:r>
        <w:tab/>
      </w:r>
      <w:r>
        <w:rPr>
          <w:rFonts w:ascii="Times New Roman" w:hAnsi="Times New Roman"/>
          <w:sz w:val="18"/>
        </w:rPr>
        <w:t xml:space="preserve">Page </w:t>
      </w:r>
      <w:r>
        <w:fldChar w:fldCharType="begin"/>
      </w:r>
      <w:r>
        <w:instrText xml:space="preserve">PAGE</w:instrText>
      </w:r>
      <w:r>
        <w:fldChar w:fldCharType="separate"/>
      </w:r>
      <w:r>
        <w:fldChar w:fldCharType="end"/>
      </w:r>
      <w:r>
        <w:rPr>
          <w:rFonts w:ascii="Times New Roman" w:hAnsi="Times New Roman"/>
          <w:sz w:val="18"/>
        </w:rPr>
        <w:t xml:space="preserve"> of </w:t>
      </w:r>
      <w:r>
        <w:fldChar w:fldCharType="begin"/>
      </w:r>
      <w:r>
        <w:instrText xml:space="preserve">NUMPAGES</w:instrText>
      </w:r>
      <w:r>
        <w:fldChar w:fldCharType="separate"/>
      </w:r>
      <w:r>
        <w:fldChar w:fldCharType="end"/>
      </w:r>
    </w:p>
    <w:p>
      <w:pPr>
        <w:keepNext/>
        <w:spacing w:before="0" w:after="20"/>
      </w:pPr>
      <w:r>
        <w:rPr>
          <w:rFonts w:ascii="Times New Roman" w:hAnsi="Times New Roman"/>
          <w:sz w:val="18"/>
        </w:rPr>
        <w:t>Protocol: [Protocol Number]</w:t>
      </w:r>
    </w:p>
    <w:p>
      <w:pPr>
        <w:keepNext/>
        <w:spacing w:before="0" w:after="80"/>
      </w:pPr>
      <w:r>
        <w:rPr>
          <w:rFonts w:ascii="Times New Roman" w:hAnsi="Times New Roman"/>
          <w:i/>
          <w:sz w:val="18"/>
        </w:rPr>
        <w:t>[Study Title / Compound Name]</w:t>
      </w:r>
    </w:p>
    <w:p>
      <w:pPr>
        <w:pStyle w:val="Heading4"/>
        <w:keepNext/>
        <w:spacing w:before="120" w:after="60"/>
      </w:pPr>
      <w:r>
        <w:rPr>
          <w:rFonts w:ascii="Times New Roman" w:hAnsi="Times New Roman"/>
          <w:b/>
          <w:i w:val="0"/>
          <w:color w:val="000000"/>
          <w:sz w:val="22"/>
        </w:rPr>
        <w:t>Listing 16.2.38  Listing of Metabolic, Glycemic, and Body Weight Assessments by Subject and Visit</w:t>
      </w:r>
      <w:r>
        <w:bookmarkStart w:id="0" w:name="L16.2.38"/>
        <w:bookmarkEnd w:id="0"/>
      </w:r>
    </w:p>
    <w:p>
      <w:pPr>
        <w:keepNext/>
        <w:spacing w:before="0" w:after="40"/>
      </w:pPr>
      <w:r>
        <w:rPr>
          <w:rFonts w:ascii="Times New Roman" w:hAnsi="Times New Roman"/>
          <w:b/>
          <w:sz w:val="16"/>
        </w:rPr>
        <w:t>[NON-ONCOLOGY ONLY]</w:t>
      </w:r>
    </w:p>
    <w:p>
      <w:pPr>
        <w:keepNext/>
        <w:spacing w:before="40" w:after="160"/>
      </w:pPr>
      <w:r>
        <w:rPr>
          <w:rFonts w:ascii="Times New Roman" w:hAnsi="Times New Roman"/>
          <w:i/>
          <w:sz w:val="18"/>
        </w:rPr>
        <w:t>Analysis Set: Full Analysis Set (FAS)</w:t>
      </w:r>
    </w:p>
    <w:p>
      <w:pPr>
        <w:keepNext/>
        <w:spacing w:before="40" w:after="60"/>
      </w:pPr>
      <w:r>
        <w:rPr>
          <w:rFonts w:ascii="Times New Roman" w:hAnsi="Times New Roman"/>
          <w:i/>
          <w:sz w:val="16"/>
        </w:rPr>
        <w:t>Note: Sorted by site, subject ID, visit sequence, and assessment date/time.</w:t>
      </w:r>
    </w:p>
    <w:tbl>
      <w:tblPr>
        <w:tblLook w:firstColumn="1" w:firstRow="1" w:lastColumn="0" w:lastRow="0" w:noHBand="0" w:noVBand="1" w:val="04A0"/>
        <w:tblW w:type="pct" w:w="5000"/>
        <w:tblLayout w:type="autofit"/>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520"/>
        <w:gridCol w:w="1520"/>
        <w:gridCol w:w="1520"/>
        <w:gridCol w:w="1520"/>
        <w:gridCol w:w="1520"/>
        <w:gridCol w:w="1520"/>
        <w:gridCol w:w="1520"/>
        <w:gridCol w:w="1520"/>
        <w:gridCol w:w="1520"/>
      </w:tblGrid>
      <w:tr>
        <w:trPr>
          <w:tblHeader w:val="true"/>
        </w:trPr>
        <w:tc>
          <w:tcPr>
            <w:tcW w:type="dxa" w:w="1520"/>
            <w:shd w:fill="F2F2F2" w:val="clear"/>
            <w:tcBorders>
              <w:bottom w:val="single" w:sz="4" w:space="0" w:color="000000"/>
            </w:tcBorders>
          </w:tcPr>
          <w:p>
            <w:pPr>
              <w:jc w:val="left"/>
            </w:pPr>
            <w:r>
              <w:rPr>
                <w:rFonts w:ascii="Times New Roman" w:hAnsi="Times New Roman"/>
                <w:b/>
                <w:sz w:val="18"/>
              </w:rPr>
              <w:t>Site</w:t>
            </w:r>
          </w:p>
        </w:tc>
        <w:tc>
          <w:tcPr>
            <w:tcW w:type="dxa" w:w="1520"/>
            <w:shd w:fill="F2F2F2" w:val="clear"/>
            <w:tcBorders>
              <w:bottom w:val="single" w:sz="4" w:space="0" w:color="000000"/>
            </w:tcBorders>
          </w:tcPr>
          <w:p>
            <w:pPr>
              <w:jc w:val="center"/>
            </w:pPr>
            <w:r>
              <w:rPr>
                <w:rFonts w:ascii="Times New Roman" w:hAnsi="Times New Roman"/>
                <w:b/>
                <w:sz w:val="18"/>
              </w:rPr>
              <w:t>Subject</w:t>
            </w:r>
          </w:p>
        </w:tc>
        <w:tc>
          <w:tcPr>
            <w:tcW w:type="dxa" w:w="1520"/>
            <w:shd w:fill="F2F2F2" w:val="clear"/>
            <w:tcBorders>
              <w:bottom w:val="single" w:sz="4" w:space="0" w:color="000000"/>
            </w:tcBorders>
          </w:tcPr>
          <w:p>
            <w:pPr>
              <w:jc w:val="center"/>
            </w:pPr>
            <w:r>
              <w:rPr>
                <w:rFonts w:ascii="Times New Roman" w:hAnsi="Times New Roman"/>
                <w:b/>
                <w:sz w:val="18"/>
              </w:rPr>
              <w:t>Group</w:t>
            </w:r>
          </w:p>
        </w:tc>
        <w:tc>
          <w:tcPr>
            <w:tcW w:type="dxa" w:w="1520"/>
            <w:shd w:fill="F2F2F2" w:val="clear"/>
            <w:tcBorders>
              <w:bottom w:val="single" w:sz="4" w:space="0" w:color="000000"/>
            </w:tcBorders>
          </w:tcPr>
          <w:p>
            <w:pPr>
              <w:jc w:val="center"/>
            </w:pPr>
            <w:r>
              <w:rPr>
                <w:rFonts w:ascii="Times New Roman" w:hAnsi="Times New Roman"/>
                <w:b/>
                <w:sz w:val="18"/>
              </w:rPr>
              <w:t>Visit</w:t>
            </w:r>
          </w:p>
        </w:tc>
        <w:tc>
          <w:tcPr>
            <w:tcW w:type="dxa" w:w="1520"/>
            <w:shd w:fill="F2F2F2" w:val="clear"/>
            <w:tcBorders>
              <w:bottom w:val="single" w:sz="4" w:space="0" w:color="000000"/>
            </w:tcBorders>
          </w:tcPr>
          <w:p>
            <w:pPr>
              <w:jc w:val="center"/>
            </w:pPr>
            <w:r>
              <w:rPr>
                <w:rFonts w:ascii="Times New Roman" w:hAnsi="Times New Roman"/>
                <w:b/>
                <w:sz w:val="18"/>
              </w:rPr>
              <w:t>Visit Date</w:t>
            </w:r>
          </w:p>
        </w:tc>
        <w:tc>
          <w:tcPr>
            <w:tcW w:type="dxa" w:w="1520"/>
            <w:shd w:fill="F2F2F2" w:val="clear"/>
            <w:tcBorders>
              <w:bottom w:val="single" w:sz="4" w:space="0" w:color="000000"/>
            </w:tcBorders>
          </w:tcPr>
          <w:p>
            <w:pPr>
              <w:jc w:val="center"/>
            </w:pPr>
            <w:r>
              <w:rPr>
                <w:rFonts w:ascii="Times New Roman" w:hAnsi="Times New Roman"/>
                <w:b/>
                <w:sz w:val="18"/>
              </w:rPr>
              <w:t>HbA1c (%)</w:t>
            </w:r>
          </w:p>
        </w:tc>
        <w:tc>
          <w:tcPr>
            <w:tcW w:type="dxa" w:w="1520"/>
            <w:shd w:fill="F2F2F2" w:val="clear"/>
            <w:tcBorders>
              <w:bottom w:val="single" w:sz="4" w:space="0" w:color="000000"/>
            </w:tcBorders>
          </w:tcPr>
          <w:p>
            <w:pPr>
              <w:jc w:val="center"/>
            </w:pPr>
            <w:r>
              <w:rPr>
                <w:rFonts w:ascii="Times New Roman" w:hAnsi="Times New Roman"/>
                <w:b/>
                <w:sz w:val="18"/>
              </w:rPr>
              <w:t>FPG (mg/dL)</w:t>
            </w:r>
          </w:p>
        </w:tc>
        <w:tc>
          <w:tcPr>
            <w:tcW w:type="dxa" w:w="1520"/>
            <w:shd w:fill="F2F2F2" w:val="clear"/>
            <w:tcBorders>
              <w:bottom w:val="single" w:sz="4" w:space="0" w:color="000000"/>
            </w:tcBorders>
          </w:tcPr>
          <w:p>
            <w:pPr>
              <w:jc w:val="center"/>
            </w:pPr>
            <w:r>
              <w:rPr>
                <w:rFonts w:ascii="Times New Roman" w:hAnsi="Times New Roman"/>
                <w:b/>
                <w:sz w:val="18"/>
              </w:rPr>
              <w:t>Body Weight (kg)</w:t>
            </w:r>
          </w:p>
        </w:tc>
        <w:tc>
          <w:tcPr>
            <w:tcW w:type="dxa" w:w="1520"/>
            <w:shd w:fill="F2F2F2" w:val="clear"/>
            <w:tcBorders>
              <w:bottom w:val="single" w:sz="4" w:space="0" w:color="000000"/>
            </w:tcBorders>
          </w:tcPr>
          <w:p>
            <w:pPr>
              <w:jc w:val="center"/>
            </w:pPr>
            <w:r>
              <w:rPr>
                <w:rFonts w:ascii="Times New Roman" w:hAnsi="Times New Roman"/>
                <w:b/>
                <w:sz w:val="18"/>
              </w:rPr>
              <w:t>BMI (kg/m2)</w:t>
            </w:r>
          </w:p>
        </w:tc>
      </w:tr>
      <w:tr>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left"/>
            </w:pPr>
            <w:r>
              <w:rPr>
                <w:rFonts w:ascii="Times New Roman" w:hAnsi="Times New Roman"/>
                <w:b w:val="0"/>
                <w:sz w:val="16"/>
              </w:rPr>
              <w:t>xxxx/xxx</w:t>
            </w:r>
          </w:p>
        </w:tc>
        <w:tc>
          <w:tcPr>
            <w:tcW w:type="dxa" w:w="1520"/>
          </w:tcPr>
          <w:p>
            <w:pPr>
              <w:spacing w:before="20" w:after="20" w:line="240" w:lineRule="exact"/>
              <w:jc w:val="left"/>
            </w:pPr>
            <w:r>
              <w:rPr>
                <w:rFonts w:ascii="Times New Roman" w:hAnsi="Times New Roman"/>
                <w:b w:val="0"/>
                <w:sz w:val="16"/>
              </w:rPr>
              <w:t>Group</w:t>
            </w:r>
          </w:p>
        </w:tc>
        <w:tc>
          <w:tcPr>
            <w:tcW w:type="dxa" w:w="1520"/>
          </w:tcPr>
          <w:p>
            <w:pPr>
              <w:spacing w:before="20" w:after="20" w:line="240" w:lineRule="exact"/>
              <w:jc w:val="left"/>
            </w:pPr>
            <w:r>
              <w:rPr>
                <w:rFonts w:ascii="Times New Roman" w:hAnsi="Times New Roman"/>
                <w:b w:val="0"/>
                <w:sz w:val="16"/>
              </w:rPr>
              <w:t>Protocol Visit</w:t>
            </w:r>
          </w:p>
        </w:tc>
        <w:tc>
          <w:tcPr>
            <w:tcW w:type="dxa" w:w="1520"/>
          </w:tcPr>
          <w:p>
            <w:pPr>
              <w:spacing w:before="20" w:after="20" w:line="240" w:lineRule="exact"/>
              <w:jc w:val="left"/>
            </w:pPr>
            <w:r>
              <w:rPr>
                <w:rFonts w:ascii="Times New Roman" w:hAnsi="Times New Roman"/>
                <w:b w:val="0"/>
                <w:sz w:val="16"/>
              </w:rPr>
              <w:t>DDMMMYYYY</w:t>
            </w:r>
          </w:p>
        </w:tc>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left"/>
            </w:pPr>
            <w:r>
              <w:rPr>
                <w:rFonts w:ascii="Times New Roman" w:hAnsi="Times New Roman"/>
                <w:b w:val="0"/>
                <w:sz w:val="16"/>
              </w:rPr>
              <w:t>xx.x</w:t>
            </w:r>
          </w:p>
        </w:tc>
        <w:tc>
          <w:tcPr>
            <w:tcW w:type="dxa" w:w="1520"/>
          </w:tcPr>
          <w:p>
            <w:pPr>
              <w:spacing w:before="20" w:after="20" w:line="240" w:lineRule="exact"/>
              <w:jc w:val="left"/>
            </w:pPr>
            <w:r>
              <w:rPr>
                <w:rFonts w:ascii="Times New Roman" w:hAnsi="Times New Roman"/>
                <w:b w:val="0"/>
                <w:sz w:val="16"/>
              </w:rPr>
              <w:t>xx.x</w:t>
            </w:r>
          </w:p>
        </w:tc>
      </w:tr>
      <w:tr>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left"/>
            </w:pPr>
            <w:r>
              <w:rPr>
                <w:rFonts w:ascii="Times New Roman" w:hAnsi="Times New Roman"/>
                <w:b w:val="0"/>
                <w:sz w:val="16"/>
              </w:rPr>
              <w:t>...</w:t>
            </w:r>
          </w:p>
        </w:tc>
        <w:tc>
          <w:tcPr>
            <w:tcW w:type="dxa" w:w="1520"/>
          </w:tcPr>
          <w:p>
            <w:pPr>
              <w:spacing w:before="20" w:after="20" w:line="240" w:lineRule="exact"/>
              <w:jc w:val="left"/>
            </w:pPr>
            <w:r>
              <w:rPr>
                <w:rFonts w:ascii="Times New Roman" w:hAnsi="Times New Roman"/>
                <w:b w:val="0"/>
                <w:sz w:val="16"/>
              </w:rPr>
              <w:t>...</w:t>
            </w:r>
          </w:p>
        </w:tc>
      </w:tr>
    </w:tbl>
    <w:p>
      <w:pPr>
        <w:keepNext/>
        <w:spacing w:before="120" w:after="20"/>
      </w:pPr>
      <w:r>
        <w:rPr>
          <w:rFonts w:ascii="Times New Roman" w:hAnsi="Times New Roman"/>
          <w:b/>
          <w:i/>
          <w:sz w:val="16"/>
        </w:rPr>
        <w:t>Footnotes:</w:t>
      </w:r>
    </w:p>
    <w:p>
      <w:pPr>
        <w:spacing w:before="0" w:after="0"/>
      </w:pPr>
      <w:r>
        <w:rPr>
          <w:rFonts w:ascii="Times New Roman" w:hAnsi="Times New Roman"/>
          <w:i/>
          <w:sz w:val="16"/>
        </w:rPr>
        <w:t>[1] Metabolic parameters collected per protocol-specified schedule. Missing assessments are noted as 'M' in the corresponding field.</w:t>
      </w:r>
    </w:p>
    <w:p>
      <w:pPr>
        <w:spacing w:before="0" w:after="0"/>
      </w:pPr>
      <w:r>
        <w:rPr>
          <w:rFonts w:ascii="Times New Roman" w:hAnsi="Times New Roman"/>
          <w:i/>
          <w:sz w:val="16"/>
        </w:rPr>
        <w:t>[2] Dataset: ADSL, ADLB. Program: l_metabolic_assess.sas.</w:t>
      </w:r>
      <w:r/>
    </w:p>
    <w:sectPr w:rsidR="00FC693F" w:rsidRPr="0006063C" w:rsidSect="00034616">
      <w:headerReference w:type="default" r:id="rId9"/>
      <w:footerReference w:type="default" r:id="rId10"/>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imes New Roman" w:hAnsi="Times New Roman"/>
        <w:sz w:val="16"/>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16"/>
      </w:rPr>
      <w:t>[Protocol Number] — TFL Shell Template v2.1.0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E75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 — TFL Shell Template v2.1.0</dc:title>
  <dc:subject>Tables, Figures, and Listings (Three-Line Format)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Clinical Statistics</cp:category>
  <cp:version>2.1.0</cp:version>
</cp:coreProperties>
</file>