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29 April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only; Section 16.1 is excluded from this generator scope.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shell family, study phase scope, coverage summary,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Controlled tables should use `Group 1`, `Group 2`, and an optional separate ellipsis (`...`) expansion column. The expansion column must remain distinct and must not be merged with Overall, HR, Total, or other analytic columns.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r>
        <w:rPr>
          <w:rFonts w:ascii="Times New Roman" w:hAnsi="Times New Roman"/>
          <w:sz w:val="22"/>
        </w:rPr>
        <w:t>Governance metadata such as shell family, study phase scope, and coverage summary should be reviewed together with applicability before study-specific shell selection is finalized.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>
      <w:r>
        <w:rPr>
          <w:rFonts w:ascii="Times New Roman" w:hAnsi="Times New Roman"/>
          <w:sz w:val="22"/>
        </w:rPr>
        <w:t>Automated quality gates should verify generation, catalog validation, and regression tests before release or controlled reuse.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2.1.0</cp:version>
</cp:coreProperties>
</file>