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32"/>
          <w:szCs w:val="32"/>
        </w:rPr>
      </w:pPr>
      <w:r w:rsidDel="00000000" w:rsidR="00000000" w:rsidRPr="00000000">
        <w:rPr>
          <w:b w:val="1"/>
          <w:bCs w:val="1"/>
          <w:sz w:val="32"/>
          <w:szCs w:val="32"/>
          <w:rtl w:val="0"/>
        </w:rPr>
        <w:t xml:space="preserve">Abstract</w:t>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t xml:space="preserve">The abstract presents an explainable machine learning framework for heart disease prediction using five models, but it reads more like a proposal than a completed study. Quantitative findings are limited, with only a brief mention of a 0.91 ROC-AUC score for Random Forest — no other model results are reported. Although LIME is introduced as part of the explainability approach, no related results appear anywhere in the paper. The claimed contribution of combining SMOTE, multiple models, SHAP, and CRISP-DM also feels generic and does not clearly demonstrate novelty beyond what already exists in the literature.</w:t>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jc w:val="left"/>
        <w:rPr>
          <w:b w:val="1"/>
          <w:bCs w:val="1"/>
          <w:sz w:val="32"/>
          <w:szCs w:val="32"/>
        </w:rPr>
      </w:pPr>
      <w:r w:rsidDel="00000000" w:rsidR="00000000" w:rsidRPr="00000000">
        <w:rPr>
          <w:b w:val="1"/>
          <w:bCs w:val="1"/>
          <w:sz w:val="32"/>
          <w:szCs w:val="32"/>
          <w:rtl w:val="0"/>
        </w:rPr>
        <w:t xml:space="preserve">2. Existing Work / Literature Review</w:t>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t xml:space="preserve">The introduction outlines reasonable objectives — preprocessing, handling class imbalance, model comparison, and explainability — but these are not consistently addressed throughout the report. The literature review itself is very limited, relying on only one cited study, which is wholly insufficient for MSc-level research. Important areas such as SHAP, LIME, and explainable AI in cardiovascular prediction are not critically explored. No clear research gap is identified, and the integration of methods is not convincingly justified as a unique or meaningful contribution to the field.</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b w:val="1"/>
          <w:bCs w:val="1"/>
          <w:sz w:val="32"/>
          <w:szCs w:val="32"/>
        </w:rPr>
      </w:pPr>
      <w:r w:rsidDel="00000000" w:rsidR="00000000" w:rsidRPr="00000000">
        <w:rPr>
          <w:b w:val="1"/>
          <w:bCs w:val="1"/>
          <w:sz w:val="32"/>
          <w:szCs w:val="32"/>
          <w:rtl w:val="0"/>
        </w:rPr>
        <w:t xml:space="preserve">3. Methodology</w:t>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t xml:space="preserve">The methodology follows a standard pipeline involving CRISP-DM, preprocessing, SMOTE, cross-validation, five classifiers, and explainability tools. Some good practices are evident — notably, applying SMOTE only to training data — but the section lacks sufficient detail for reproducibility. Confusion regarding the dataset size (303 versus 918 instances) raises genuine concerns about validity, and important model hyperparameters are missing throughout. Structural issues are also apparent, including results being placed within the methodology section. Terms like "adversarial testing" are introduced without explanation, LIME is mentioned without any implementation detail, and CRISP-DM is described inconsistently, suggesting some conceptual misunderstanding of the framework.</w:t>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left"/>
        <w:rPr>
          <w:b w:val="1"/>
          <w:bCs w:val="1"/>
          <w:sz w:val="32"/>
          <w:szCs w:val="32"/>
        </w:rPr>
      </w:pPr>
      <w:r w:rsidDel="00000000" w:rsidR="00000000" w:rsidRPr="00000000">
        <w:rPr>
          <w:b w:val="1"/>
          <w:bCs w:val="1"/>
          <w:sz w:val="32"/>
          <w:szCs w:val="32"/>
          <w:rtl w:val="0"/>
        </w:rPr>
        <w:t xml:space="preserve">4. Results</w:t>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jc w:val="left"/>
        <w:rPr/>
      </w:pPr>
      <w:r w:rsidDel="00000000" w:rsidR="00000000" w:rsidRPr="00000000">
        <w:rPr>
          <w:rtl w:val="0"/>
        </w:rPr>
        <w:t xml:space="preserve">The results section is underdeveloped and provides only limited evidence of model performance. Beyond the 0.91 ROC-AUC score for Random Forest and a brief mention of improved XGBoost recall after SMOTE, no meaningful comparison across models is presented. Results tables, confusion matrices, and cross-validation outputs are all missing. Although SHAP is referenced, no visualisations are included, and LIME results are entirely absent despite being claimed as a core contribution. The repeated use of phrases like "preliminary results" further reinforces the impression that the study is incomplete.</w:t>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left"/>
        <w:rPr>
          <w:b w:val="1"/>
          <w:bCs w:val="1"/>
          <w:sz w:val="32"/>
          <w:szCs w:val="32"/>
        </w:rPr>
      </w:pPr>
      <w:r w:rsidDel="00000000" w:rsidR="00000000" w:rsidRPr="00000000">
        <w:rPr>
          <w:b w:val="1"/>
          <w:bCs w:val="1"/>
          <w:sz w:val="32"/>
          <w:szCs w:val="32"/>
          <w:rtl w:val="0"/>
        </w:rPr>
        <w:t xml:space="preserve">5. Discussion and Conclusions</w:t>
      </w:r>
    </w:p>
    <w:p w:rsidR="00000000" w:rsidDel="00000000" w:rsidP="00000000" w:rsidRDefault="00000000" w:rsidRPr="00000000" w14:paraId="00000012">
      <w:pPr>
        <w:jc w:val="left"/>
        <w:rPr/>
      </w:pPr>
      <w:r w:rsidDel="00000000" w:rsidR="00000000" w:rsidRPr="00000000">
        <w:rPr>
          <w:rtl w:val="0"/>
        </w:rPr>
      </w:r>
    </w:p>
    <w:p w:rsidR="00000000" w:rsidDel="00000000" w:rsidP="00000000" w:rsidRDefault="00000000" w:rsidRPr="00000000" w14:paraId="00000013">
      <w:pPr>
        <w:jc w:val="left"/>
        <w:rPr/>
      </w:pPr>
      <w:r w:rsidDel="00000000" w:rsidR="00000000" w:rsidRPr="00000000">
        <w:rPr>
          <w:rtl w:val="0"/>
        </w:rPr>
        <w:t xml:space="preserve">The discussion is brief and does not engage critically with the findings. It offers little explanation of why certain models outperformed others and largely overlooks most of the classifiers used in the study. A dedicated conclusion section is missing, and only one limitation is acknowledged despite several methodological and dataset-related concerns that warranted attention. The inclusion of loosely written legal, ethical, and project management sections, combined with incomplete results, gives the overall impression of an unfinished research proposal rather than a final submitted paper.</w:t>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jc w:val="left"/>
        <w:rPr>
          <w:b w:val="1"/>
          <w:bCs w:val="1"/>
          <w:sz w:val="32"/>
          <w:szCs w:val="32"/>
        </w:rPr>
      </w:pPr>
      <w:r w:rsidDel="00000000" w:rsidR="00000000" w:rsidRPr="00000000">
        <w:rPr>
          <w:b w:val="1"/>
          <w:bCs w:val="1"/>
          <w:sz w:val="32"/>
          <w:szCs w:val="32"/>
          <w:rtl w:val="0"/>
        </w:rPr>
        <w:t xml:space="preserve">6. References and Presentation</w:t>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rtl w:val="0"/>
        </w:rPr>
        <w:t xml:space="preserve">The report follows a basic academic structure but contains several notable weaknesses. The reference list is very limited — only five sources — with little engagement with key literature on SHAP, LIME, or the dataset used, falling well short of postgraduate expectations. Structural issues, including duplicate section numbering and the absence of the author's name, weaken the presentation further. Although interpretability methods are claimed as a contribution, no visual outputs are provided to support this. Writing is generally clear but includes informal phrasing, typographical errors, and some overstatements that collectively reduce the academic quality of the submission.</w:t>
      </w:r>
    </w:p>
    <w:p w:rsidR="00000000" w:rsidDel="00000000" w:rsidP="00000000" w:rsidRDefault="00000000" w:rsidRPr="00000000" w14:paraId="00000018">
      <w:pPr>
        <w:jc w:val="left"/>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rFonts w:ascii="Times New Roman" w:cs="Times New Roman" w:eastAsia="Times New Roman" w:hAnsi="Times New Roman"/>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rFonts w:ascii="Times New Roman" w:cs="Times New Roman" w:eastAsia="Times New Roman" w:hAnsi="Times New Roman"/>
      <w:i w:val="1"/>
      <w:iCs w:val="1"/>
      <w:vertAlign w:val="baseline"/>
    </w:rPr>
  </w:style>
  <w:style w:type="paragraph" w:styleId="Heading3">
    <w:name w:val="heading 3"/>
    <w:basedOn w:val="Normal"/>
    <w:next w:val="Normal"/>
    <w:pPr>
      <w:ind w:left="0" w:firstLine="288"/>
      <w:jc w:val="both"/>
    </w:pPr>
    <w:rPr>
      <w:rFonts w:ascii="Times New Roman" w:cs="Times New Roman" w:eastAsia="Times New Roman" w:hAnsi="Times New Roman"/>
      <w:i w:val="1"/>
      <w:iCs w:val="1"/>
      <w:vertAlign w:val="baseline"/>
    </w:rPr>
  </w:style>
  <w:style w:type="paragraph" w:styleId="Heading4">
    <w:name w:val="heading 4"/>
    <w:basedOn w:val="Normal"/>
    <w:next w:val="Normal"/>
    <w:pPr>
      <w:tabs>
        <w:tab w:val="left" w:leader="none" w:pos="821"/>
      </w:tabs>
      <w:spacing w:after="40" w:before="40" w:lineRule="auto"/>
      <w:ind w:left="0" w:firstLine="504"/>
      <w:jc w:val="both"/>
    </w:pPr>
    <w:rPr>
      <w:rFonts w:ascii="Times New Roman" w:cs="Times New Roman" w:eastAsia="Times New Roman" w:hAnsi="Times New Roman"/>
      <w:i w:val="1"/>
      <w:iCs w:val="1"/>
      <w:vertAlign w:val="baseline"/>
    </w:rPr>
  </w:style>
  <w:style w:type="paragraph" w:styleId="Heading5">
    <w:name w:val="heading 5"/>
    <w:basedOn w:val="Normal"/>
    <w:next w:val="Normal"/>
    <w:pPr>
      <w:tabs>
        <w:tab w:val="left" w:leader="none" w:pos="360"/>
      </w:tabs>
      <w:spacing w:after="80" w:before="160" w:lineRule="auto"/>
      <w:jc w:val="center"/>
    </w:pPr>
    <w:rPr>
      <w:rFonts w:ascii="Times New Roman" w:cs="Times New Roman" w:eastAsia="Times New Roman" w:hAnsi="Times New Roman"/>
      <w:smallCaps w:val="1"/>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