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 xml:space="preserve">Cardiovascular disease is the cause of death worldwide, but its early detection is still based on the cost and accessibility of it. Machine learning has predictive potential, and this model has a lack of visibility issues that decrease clinical trust. This is a research paper on an elaboratable ML system to predict heart diseases based on the UCI Cleveland dataset under the CRISP DM methodology. A total of 5 classifiers, Logistic Regression, Random Forest, XGBoost, SVM and KNN, were tested on accuracy, precision, recall, f1 score and AUC after median/mode imputation, IQR outlier capping, and SMOTE balancing within stratified 5-fold cross-validation. Logistic Regression and SVM had attained AUC 0.960; the random forest reached a precision of 0.87 and a recall of 0.93, with the variance of cross-validation being below 0.03. SHAP analysis revealed to the researchers that the key predictors were the presence of asymptomatic chest pain, thalassemia, and the number of vessels, which were consistent with clinical knowledge. SHAP waterfall and LIME explanations culminated on a case-by-case basis, assuring patient unique transparency. The framework is based on the use of ACM/BCS codes of ethics and represents a decision support system, which proves that interpretable ML can achieve high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Cardiovascular disease (CVD) is the most dominant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This study provides that gap by creating an elucidable ML model of the early identification of heart disease. The framework links powerful predictive modelling, as well as interpretability tools, to hold a position that clinicians can interrogate and interpret each diagnosis. The study is based on the popular UCI Cleveland heart disease dataset and follows the Cross-Industry Standard Process for Data Mining (CRISP DM) methodology to ensure the structure, reproducibility, and transparency of each step [3]. The objective of the work is to develop a machine learning algorithm capable of not just predicting heart disease with reasonable accuracy, but also giving clinically meaningful explanations of its predictions.</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Preprocess the UCI data to handlk  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The paper begins by providing an abstract and introduction that clarify cardiovascular disease as a worldwide health issue, as well as the necessity of interpretable ML. The current work section discusses the previous predictive models and explainability gaps. Methodology will describe the preprocessing of data, balancing data with SMOTE, comparing classifiers, and SHAP / LIME. Results assess model performance, showing an AUC of 0.946 by Random Forest and the top predictors [4]. The discussion critically evaluates the findings and limitations; a conclusion summarizes contributions and suggests future work.</w:t>
      </w: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r w:rsidDel="00000000" w:rsidR="00000000" w:rsidRPr="00000000">
        <w:rPr>
          <w:sz w:val="24"/>
          <w:szCs w:val="24"/>
          <w:rtl w:val="0"/>
        </w:rPr>
        <w:t xml:space="preserve">They evaluated 5 classifiers using default or widely accepted hyperparameters: Logistic Regression (max_iter = 1000), Random Forest (100trees), XGBoost(eval_metric='logloss'), SVM with radial basis function kernel and probability calibration and KNN (k = 5). Mean and standard deviation of accuracy, precision, recall, F1 score and area under the ROC curve (AUC) were calculated using stratified five-fold cross-validation. The models after cross-validation were refitted on the full training set and evaluated on the held-out test set. Visualisation of results was done in the form of grouped bar charts and overlapping ROC curves.</w:t>
      </w: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 xml:space="preserve">To further test against robustness, conceptual adversarial validation was designed: Gaussian noise at 5% and 10% of the standard deviation of features would be injected into test samples, and the degradation of the AUC and SHAP feature attribution stability would be measured. Although this test will eventually be completely automated as part of the broader integration, it has been included in the methodology as a sign that this is indeed a test that is to be unconditionally serious in terms of its rigorous validation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 xml:space="preserve">Interpretability was the concern dealt with by two global local approaches. Following the best performing model (Random Forest), SHAP values were generated with a bee swarm summary plot visualizing global feature importance on the positive class. To understand local knowledge, the prediction of a single positive instance was decomposed using a waterfall plot, indicating the effect each feature exerted on the derived output. Complementarily, LIME represented a second local explanation by perturbing the example and cost-effectively modelling a sparse linear representation. To enable LIME on categorical data, the original string features were label encoded into integers, and a custom prediction wrapper inversely transformed the perturbed samples back to strings before calling the model’s predict_proba. This hybrid XAI design would provide not only the population-wide picture but patient-specific justification, which can create trust in clinics to adopt the technology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all columns reported zero missing values. The physically impossible negative values in oldpeak (minimum -2.6 in the raw data) were corrected by clipping to zero before IQR capping, as ST depression is by clinical definition a non-negative measurement. Outlier capping with the 1.5×IQR rule was applied to age, trestbps, chol, thalch, and oldpeak; the feature ca was excluded as it is a discrete count variable. Before and after box plots confirmed that extreme values were successfully removed without distorting the central tendency or shape of any distribution. The final clean dataset of 920 records with 13 features was then passed to the modelling pipeline.</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rsidDel="00000000" w:rsidR="00000000" w:rsidRPr="00000000">
        <w:rPr>
          <w:sz w:val="24"/>
          <w:szCs w:val="24"/>
          <w:rtl w:val="0"/>
        </w:rPr>
        <w:t xml:space="preserve">When a bar graph compares the five models in terms of accuracy, precision, recall, F1 score and AUC, there is a tightly clustered set of high performers. It is outlined in Table 1 below. Models were all above 0.83 accuracy, with the power of the chosen features being discriminative. It is important to note that even a linear baseline could be able to articulate the underlying patterns once the data are appropriately scaled and balanced. Random Forest and KNN with the accuracies of 0.902 and AUCs of 0.946 and 0.951, respectively. With slightly less strength (precision was 0.765), though still strong (precision 0.836, AUC 0.935), XGBoost had to make a slight tradeoff: its precision was the lowest (0.765), but its recall was the best (0.929)—the clinically preferable direction [27].</w:t>
      </w:r>
    </w:p>
    <w:p w:rsidR="00000000" w:rsidDel="00000000" w:rsidP="00000000" w:rsidRDefault="00000000" w:rsidRPr="00000000" w14:paraId="00000051">
      <w:pPr>
        <w:spacing w:line="360" w:lineRule="auto"/>
        <w:jc w:val="both"/>
        <w:rPr>
          <w:sz w:val="24"/>
          <w:szCs w:val="24"/>
        </w:rPr>
      </w:pPr>
      <w:r w:rsidDel="00000000" w:rsidR="00000000" w:rsidRPr="00000000">
        <w:rPr>
          <w:sz w:val="24"/>
          <w:szCs w:val="24"/>
          <w:rtl w:val="0"/>
        </w:rPr>
        <w:t xml:space="preserve">The ROC curves are a threshold-independent measure of the discrimination. All five classifiers are much above the diagonal random guess line, with a minimum AUC = 0.935 (XGBoost). The Logistic Regression curve and SVM curve nearly intersect, whereas the curves of the Random Forest and KNN are slightly off in the smaller area of false positives. This uniform AUC band of 0.935-0.960 means that the engineered feature sequence and SMOTE augmented training yielded models that distinguish cases in positive and negative with high reliability. The AUC variance between fivefold cross validation was below 0.03 per model, which validates that the models are stable and that the criteria of robustness that were followed in the methodology were met.</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rsidDel="00000000" w:rsidR="00000000" w:rsidRPr="00000000">
        <w:rPr>
          <w:sz w:val="24"/>
          <w:szCs w:val="24"/>
          <w:rtl w:val="0"/>
        </w:rPr>
        <w:t xml:space="preserve">Random Forest was chosen as the first model that can be used to explain the results since the model has native measures of feature importance and a performance/explainability trade-off. The confusion matrix of it indicates that out of 61 instances of tests, 29 instances were correctly identified as true negatives and 26 correctly identified as true positives with only 4 false positives and 2 false negatives. That translates to an accuracy of 0.93 of the disease categories- that is, 93 per cent of the actual disease cases will be in the sample. The disease class is properly calibrated with a F1 score of 0.90 which shows that the average accuracy of the disease-class is good. The classification report also shows that even greater specificity as the No Disease class had a much higher specificity of 0.94 with a much smaller recall of 0.88. These measures are especially important in a clinical triage situation: good recall minimises the risk of releasing a patient at risk, and a good precision guarantee that the resources spending on follow up will not be overwhelmed by the false alarms [28].</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rsidDel="00000000" w:rsidR="00000000" w:rsidRPr="00000000">
        <w:rPr>
          <w:sz w:val="24"/>
          <w:szCs w:val="24"/>
          <w:rtl w:val="0"/>
        </w:rPr>
        <w:t xml:space="preserve">The most influential predictor is identified to be chest pain type (asymptomatic): patients who are presented with asymptomatic chest pain (cp = -4) receive a strong positive SHAP impact, that is, the model has been taught that this category is an important predictor of a disease. This is in line with the prevailing medical understanding in that silent ischemia is an established risk marker. Other high impact features include thalassemia (reversable defect), number of major vessels coloured by fluoroscopy (ca), ST depression (oldpeak), and exercise induced angina (exang) all of which have a clear positive association with heart disease. On the other hand, normal thalassemia outcome, female gender and an up-sloping ST segment swayed forecasts on to the healthy group. The expected direction is confirmed by the colour gradients: e.g. high ca values (red) cluster on the positive SHAP side, whereas low ca values (blue) spread around zero. or negative.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These rankings of global importance are congruent with the literature: AzimiLemiret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rsidDel="00000000" w:rsidR="00000000" w:rsidRPr="00000000">
        <w:rPr>
          <w:sz w:val="24"/>
          <w:szCs w:val="24"/>
          <w:rtl w:val="0"/>
        </w:rPr>
        <w:t xml:space="preserve">Although it is important in the world due to the average behaviour, clinical trust is usually based on the interpretation of a particular prediction. Two complementary local explanation methods were used with one positive test.</w:t>
      </w:r>
    </w:p>
    <w:p w:rsidR="00000000" w:rsidDel="00000000" w:rsidP="00000000" w:rsidRDefault="00000000" w:rsidRPr="00000000" w14:paraId="0000006D">
      <w:pPr>
        <w:spacing w:line="360" w:lineRule="auto"/>
        <w:jc w:val="both"/>
        <w:rPr>
          <w:sz w:val="24"/>
          <w:szCs w:val="24"/>
        </w:rPr>
      </w:pPr>
      <w:r w:rsidDel="00000000" w:rsidR="00000000" w:rsidRPr="00000000">
        <w:rPr>
          <w:sz w:val="24"/>
          <w:szCs w:val="24"/>
          <w:rtl w:val="0"/>
        </w:rPr>
        <w:t xml:space="preserve">SHAP Waterfall Plot above breaks down the prediction between the base value (predicted outcome of the model  at its base, the expected model result in this case, say 0.50), and the final value of 0.77 of this patient. The greatest positive contributions have been made by thal_reversable defect (+0.11), cp_asymptomatic (+0.10), and exang_True (+0.03). These are partially offset by negative contributions from oldpeak (–0.10) and ca (–0.05), which in this particular patient had values that lowered the risk. The other features had less, aggregate impacts. This decomposition offers a transparent, feature by feature audit trail: a clinician can immediately see that the high probability is inspired by the thalassemia status and the presentation of chest pain of a patient.</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rsidDel="00000000" w:rsidR="00000000" w:rsidRPr="00000000">
        <w:rPr>
          <w:rFonts w:ascii="Gungsuh" w:cs="Gungsuh" w:eastAsia="Gungsuh" w:hAnsi="Gungsuh"/>
          <w:sz w:val="24"/>
          <w:szCs w:val="24"/>
          <w:rtl w:val="0"/>
        </w:rPr>
        <w:t xml:space="preserve">The corroboration of the SHAP findings using the alternative philosophy is provided by LIME Explanation corroboration of the SHAP findings. The best LIME feature (reversible defect) is the best feature and the defect adds +0.26 to the disease probability, and another best feature iscp=False  (asymptomatic), which adds +0.19. Negative influences include ca ≤ 0.00 (–0.15)  and *slope=2* (upsloping, –0.08). Thalassemia, chest pain type, and number of affected vessels in the region are the same core factors, which the local approximation built by LIME attributes to be the drivers. The fact that SHAP and LIME agree that this is the case, supports the credibility of the explanation: two independent approaches converge on the same clinical indications.</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sidR="00000000" w:rsidDel="00000000" w:rsidP="00000000" w:rsidRDefault="00000000" w:rsidRPr="00000000" w14:paraId="0000007A">
            <w:pPr>
              <w:spacing w:line="360" w:lineRule="auto"/>
              <w:jc w:val="both"/>
              <w:rPr>
                <w:sz w:val="24"/>
                <w:szCs w:val="24"/>
              </w:rPr>
            </w:pPr>
            <w:r w:rsidDel="00000000" w:rsidR="00000000" w:rsidRPr="00000000">
              <w:rPr>
                <w:b w:val="1"/>
                <w:bCs w:val="1"/>
                <w:sz w:val="24"/>
                <w:szCs w:val="24"/>
                <w:rtl w:val="0"/>
              </w:rPr>
              <w:t xml:space="preserve">#</w:t>
            </w:r>
            <w:r w:rsidDel="00000000" w:rsidR="00000000" w:rsidRPr="00000000">
              <w:rPr>
                <w:rtl w:val="0"/>
              </w:rPr>
            </w:r>
          </w:p>
        </w:tc>
        <w:tc>
          <w:tcPr>
            <w:vAlign w:val="top"/>
          </w:tcPr>
          <w:p w:rsidR="00000000" w:rsidDel="00000000" w:rsidP="00000000" w:rsidRDefault="00000000" w:rsidRPr="00000000" w14:paraId="0000007B">
            <w:pPr>
              <w:spacing w:line="360" w:lineRule="auto"/>
              <w:jc w:val="both"/>
              <w:rPr>
                <w:sz w:val="24"/>
                <w:szCs w:val="24"/>
              </w:rPr>
            </w:pPr>
            <w:r w:rsidDel="00000000" w:rsidR="00000000" w:rsidRPr="00000000">
              <w:rPr>
                <w:b w:val="1"/>
                <w:bCs w:val="1"/>
                <w:sz w:val="24"/>
                <w:szCs w:val="24"/>
                <w:rtl w:val="0"/>
              </w:rPr>
              <w:t xml:space="preserve">Finding</w:t>
            </w:r>
            <w:r w:rsidDel="00000000" w:rsidR="00000000" w:rsidRPr="00000000">
              <w:rPr>
                <w:rtl w:val="0"/>
              </w:rPr>
            </w:r>
          </w:p>
        </w:tc>
        <w:tc>
          <w:tcPr>
            <w:vAlign w:val="top"/>
          </w:tcPr>
          <w:p w:rsidR="00000000" w:rsidDel="00000000" w:rsidP="00000000" w:rsidRDefault="00000000" w:rsidRPr="00000000" w14:paraId="0000007C">
            <w:pPr>
              <w:spacing w:line="360" w:lineRule="auto"/>
              <w:jc w:val="both"/>
              <w:rPr>
                <w:sz w:val="24"/>
                <w:szCs w:val="24"/>
              </w:rPr>
            </w:pPr>
            <w:r w:rsidDel="00000000" w:rsidR="00000000" w:rsidRPr="00000000">
              <w:rPr>
                <w:b w:val="1"/>
                <w:bCs w:val="1"/>
                <w:sz w:val="24"/>
                <w:szCs w:val="24"/>
                <w:rtl w:val="0"/>
              </w:rPr>
              <w:t xml:space="preserve">Evidence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spacing w:line="360" w:lineRule="auto"/>
              <w:jc w:val="both"/>
              <w:rPr>
                <w:sz w:val="24"/>
                <w:szCs w:val="24"/>
              </w:rPr>
            </w:pPr>
            <w:r w:rsidDel="00000000" w:rsidR="00000000" w:rsidRPr="00000000">
              <w:rPr>
                <w:sz w:val="24"/>
                <w:szCs w:val="24"/>
                <w:rtl w:val="0"/>
              </w:rPr>
              <w:t xml:space="preserve">1</w:t>
            </w:r>
          </w:p>
        </w:tc>
        <w:tc>
          <w:tcPr>
            <w:vAlign w:val="top"/>
          </w:tcPr>
          <w:p w:rsidR="00000000" w:rsidDel="00000000" w:rsidP="00000000" w:rsidRDefault="00000000" w:rsidRPr="00000000" w14:paraId="0000007E">
            <w:pPr>
              <w:spacing w:line="360" w:lineRule="auto"/>
              <w:jc w:val="both"/>
              <w:rPr>
                <w:sz w:val="24"/>
                <w:szCs w:val="24"/>
              </w:rPr>
            </w:pPr>
            <w:r w:rsidDel="00000000" w:rsidR="00000000" w:rsidRPr="00000000">
              <w:rPr>
                <w:sz w:val="24"/>
                <w:szCs w:val="24"/>
                <w:rtl w:val="0"/>
              </w:rPr>
              <w:t xml:space="preserve">Data integrity achieved</w:t>
            </w:r>
          </w:p>
        </w:tc>
        <w:tc>
          <w:tcPr>
            <w:vAlign w:val="top"/>
          </w:tcPr>
          <w:p w:rsidR="00000000" w:rsidDel="00000000" w:rsidP="00000000" w:rsidRDefault="00000000" w:rsidRPr="00000000" w14:paraId="0000007F">
            <w:pPr>
              <w:spacing w:line="360" w:lineRule="auto"/>
              <w:jc w:val="both"/>
              <w:rPr>
                <w:sz w:val="24"/>
                <w:szCs w:val="24"/>
              </w:rPr>
            </w:pPr>
            <w:r w:rsidDel="00000000" w:rsidR="00000000" w:rsidRPr="00000000">
              <w:rPr>
                <w:sz w:val="24"/>
                <w:szCs w:val="24"/>
                <w:rtl w:val="0"/>
              </w:rPr>
              <w:t xml:space="preserve">None of the missing values persist after imputation; outliers are limited without distorting distributions (before/after box plots).</w:t>
            </w:r>
          </w:p>
        </w:tc>
      </w:tr>
      <w:tr>
        <w:trPr>
          <w:cantSplit w:val="0"/>
          <w:tblHeader w:val="0"/>
        </w:trPr>
        <w:tc>
          <w:tcPr>
            <w:vAlign w:val="top"/>
          </w:tcPr>
          <w:p w:rsidR="00000000" w:rsidDel="00000000" w:rsidP="00000000" w:rsidRDefault="00000000" w:rsidRPr="00000000" w14:paraId="00000080">
            <w:pPr>
              <w:spacing w:line="360" w:lineRule="auto"/>
              <w:jc w:val="both"/>
              <w:rPr>
                <w:sz w:val="24"/>
                <w:szCs w:val="24"/>
              </w:rPr>
            </w:pPr>
            <w:r w:rsidDel="00000000" w:rsidR="00000000" w:rsidRPr="00000000">
              <w:rPr>
                <w:sz w:val="24"/>
                <w:szCs w:val="24"/>
                <w:rtl w:val="0"/>
              </w:rPr>
              <w:t xml:space="preserve">2</w:t>
            </w:r>
          </w:p>
        </w:tc>
        <w:tc>
          <w:tcPr>
            <w:vAlign w:val="top"/>
          </w:tcPr>
          <w:p w:rsidR="00000000" w:rsidDel="00000000" w:rsidP="00000000" w:rsidRDefault="00000000" w:rsidRPr="00000000" w14:paraId="00000081">
            <w:pPr>
              <w:spacing w:line="360" w:lineRule="auto"/>
              <w:jc w:val="both"/>
              <w:rPr>
                <w:sz w:val="24"/>
                <w:szCs w:val="24"/>
              </w:rPr>
            </w:pPr>
            <w:r w:rsidDel="00000000" w:rsidR="00000000" w:rsidRPr="00000000">
              <w:rPr>
                <w:sz w:val="24"/>
                <w:szCs w:val="24"/>
                <w:rtl w:val="0"/>
              </w:rPr>
              <w:t xml:space="preserve">Strong classifier performance</w:t>
            </w:r>
          </w:p>
        </w:tc>
        <w:tc>
          <w:tcPr>
            <w:vAlign w:val="top"/>
          </w:tcPr>
          <w:p w:rsidR="00000000" w:rsidDel="00000000" w:rsidP="00000000" w:rsidRDefault="00000000" w:rsidRPr="00000000" w14:paraId="00000082">
            <w:pPr>
              <w:spacing w:line="360" w:lineRule="auto"/>
              <w:jc w:val="both"/>
              <w:rPr>
                <w:sz w:val="24"/>
                <w:szCs w:val="24"/>
              </w:rPr>
            </w:pPr>
            <w:r w:rsidDel="00000000" w:rsidR="00000000" w:rsidRPr="00000000">
              <w:rPr>
                <w:sz w:val="24"/>
                <w:szCs w:val="24"/>
                <w:rtl w:val="0"/>
              </w:rPr>
              <w:t xml:space="preserve">Logistic Regression &amp; SVM AUC = 0.960; Random Forest precision = 0.87, recall = 0.93.</w:t>
            </w:r>
          </w:p>
        </w:tc>
      </w:tr>
      <w:tr>
        <w:trPr>
          <w:cantSplit w:val="0"/>
          <w:tblHeader w:val="0"/>
        </w:trPr>
        <w:tc>
          <w:tcPr>
            <w:vAlign w:val="top"/>
          </w:tcPr>
          <w:p w:rsidR="00000000" w:rsidDel="00000000" w:rsidP="00000000" w:rsidRDefault="00000000" w:rsidRPr="00000000" w14:paraId="00000083">
            <w:pPr>
              <w:spacing w:line="360" w:lineRule="auto"/>
              <w:jc w:val="both"/>
              <w:rPr>
                <w:sz w:val="24"/>
                <w:szCs w:val="24"/>
              </w:rPr>
            </w:pPr>
            <w:r w:rsidDel="00000000" w:rsidR="00000000" w:rsidRPr="00000000">
              <w:rPr>
                <w:sz w:val="24"/>
                <w:szCs w:val="24"/>
                <w:rtl w:val="0"/>
              </w:rPr>
              <w:t xml:space="preserve">3</w:t>
            </w:r>
          </w:p>
        </w:tc>
        <w:tc>
          <w:tcPr>
            <w:vAlign w:val="top"/>
          </w:tcPr>
          <w:p w:rsidR="00000000" w:rsidDel="00000000" w:rsidP="00000000" w:rsidRDefault="00000000" w:rsidRPr="00000000" w14:paraId="00000084">
            <w:pPr>
              <w:spacing w:line="360" w:lineRule="auto"/>
              <w:jc w:val="both"/>
              <w:rPr>
                <w:sz w:val="24"/>
                <w:szCs w:val="24"/>
              </w:rPr>
            </w:pPr>
            <w:r w:rsidDel="00000000" w:rsidR="00000000" w:rsidRPr="00000000">
              <w:rPr>
                <w:sz w:val="24"/>
                <w:szCs w:val="24"/>
                <w:rtl w:val="0"/>
              </w:rPr>
              <w:t xml:space="preserve">Stable cross-validation</w:t>
            </w:r>
          </w:p>
        </w:tc>
        <w:tc>
          <w:tcPr>
            <w:vAlign w:val="top"/>
          </w:tcPr>
          <w:p w:rsidR="00000000" w:rsidDel="00000000" w:rsidP="00000000" w:rsidRDefault="00000000" w:rsidRPr="00000000" w14:paraId="00000085">
            <w:pPr>
              <w:spacing w:line="360" w:lineRule="auto"/>
              <w:jc w:val="both"/>
              <w:rPr>
                <w:sz w:val="24"/>
                <w:szCs w:val="24"/>
              </w:rPr>
            </w:pPr>
            <w:r w:rsidDel="00000000" w:rsidR="00000000" w:rsidRPr="00000000">
              <w:rPr>
                <w:sz w:val="24"/>
                <w:szCs w:val="24"/>
                <w:rtl w:val="0"/>
              </w:rPr>
              <w:t xml:space="preserve">AUC standard deviation &lt; 0.03 of all five models in 5 fold stratified CV. </w:t>
            </w:r>
          </w:p>
        </w:tc>
      </w:tr>
      <w:tr>
        <w:trPr>
          <w:cantSplit w:val="0"/>
          <w:tblHeader w:val="0"/>
        </w:trPr>
        <w:tc>
          <w:tcPr>
            <w:vAlign w:val="top"/>
          </w:tcPr>
          <w:p w:rsidR="00000000" w:rsidDel="00000000" w:rsidP="00000000" w:rsidRDefault="00000000" w:rsidRPr="00000000" w14:paraId="00000086">
            <w:pPr>
              <w:spacing w:line="360" w:lineRule="auto"/>
              <w:jc w:val="both"/>
              <w:rPr>
                <w:sz w:val="24"/>
                <w:szCs w:val="24"/>
              </w:rPr>
            </w:pPr>
            <w:r w:rsidDel="00000000" w:rsidR="00000000" w:rsidRPr="00000000">
              <w:rPr>
                <w:sz w:val="24"/>
                <w:szCs w:val="24"/>
                <w:rtl w:val="0"/>
              </w:rPr>
              <w:t xml:space="preserve">4</w:t>
            </w:r>
          </w:p>
        </w:tc>
        <w:tc>
          <w:tcPr>
            <w:vAlign w:val="top"/>
          </w:tcPr>
          <w:p w:rsidR="00000000" w:rsidDel="00000000" w:rsidP="00000000" w:rsidRDefault="00000000" w:rsidRPr="00000000" w14:paraId="00000087">
            <w:pPr>
              <w:spacing w:line="360" w:lineRule="auto"/>
              <w:jc w:val="both"/>
              <w:rPr>
                <w:sz w:val="24"/>
                <w:szCs w:val="24"/>
              </w:rPr>
            </w:pPr>
            <w:r w:rsidDel="00000000" w:rsidR="00000000" w:rsidRPr="00000000">
              <w:rPr>
                <w:sz w:val="24"/>
                <w:szCs w:val="24"/>
                <w:rtl w:val="0"/>
              </w:rPr>
              <w:t xml:space="preserve">Global SHAP: clinically plausible predictors</w:t>
            </w:r>
          </w:p>
        </w:tc>
        <w:tc>
          <w:tcPr>
            <w:vAlign w:val="top"/>
          </w:tcPr>
          <w:p w:rsidR="00000000" w:rsidDel="00000000" w:rsidP="00000000" w:rsidRDefault="00000000" w:rsidRPr="00000000" w14:paraId="00000088">
            <w:pPr>
              <w:spacing w:line="360" w:lineRule="auto"/>
              <w:jc w:val="both"/>
              <w:rPr>
                <w:sz w:val="24"/>
                <w:szCs w:val="24"/>
              </w:rPr>
            </w:pPr>
            <w:r w:rsidDel="00000000" w:rsidR="00000000" w:rsidRPr="00000000">
              <w:rPr>
                <w:sz w:val="24"/>
                <w:szCs w:val="24"/>
                <w:rtl w:val="0"/>
              </w:rPr>
              <w:t xml:space="preserve">Top ranked were chest pain type, thalassemia, major vessel count, ST depression and exercise angina.</w:t>
            </w:r>
          </w:p>
        </w:tc>
      </w:tr>
      <w:tr>
        <w:trPr>
          <w:cantSplit w:val="0"/>
          <w:tblHeader w:val="0"/>
        </w:trPr>
        <w:tc>
          <w:tcPr>
            <w:vAlign w:val="top"/>
          </w:tcPr>
          <w:p w:rsidR="00000000" w:rsidDel="00000000" w:rsidP="00000000" w:rsidRDefault="00000000" w:rsidRPr="00000000" w14:paraId="00000089">
            <w:pPr>
              <w:spacing w:line="360" w:lineRule="auto"/>
              <w:jc w:val="both"/>
              <w:rPr>
                <w:sz w:val="24"/>
                <w:szCs w:val="24"/>
              </w:rPr>
            </w:pPr>
            <w:r w:rsidDel="00000000" w:rsidR="00000000" w:rsidRPr="00000000">
              <w:rPr>
                <w:sz w:val="24"/>
                <w:szCs w:val="24"/>
                <w:rtl w:val="0"/>
              </w:rPr>
              <w:t xml:space="preserve">5</w:t>
            </w:r>
          </w:p>
        </w:tc>
        <w:tc>
          <w:tcPr>
            <w:vAlign w:val="top"/>
          </w:tcPr>
          <w:p w:rsidR="00000000" w:rsidDel="00000000" w:rsidP="00000000" w:rsidRDefault="00000000" w:rsidRPr="00000000" w14:paraId="0000008A">
            <w:pPr>
              <w:spacing w:line="360" w:lineRule="auto"/>
              <w:jc w:val="both"/>
              <w:rPr>
                <w:sz w:val="24"/>
                <w:szCs w:val="24"/>
              </w:rPr>
            </w:pPr>
            <w:r w:rsidDel="00000000" w:rsidR="00000000" w:rsidRPr="00000000">
              <w:rPr>
                <w:sz w:val="24"/>
                <w:szCs w:val="24"/>
                <w:rtl w:val="0"/>
              </w:rPr>
              <w:t xml:space="preserve">Local convergence of SHAP &amp; LIME</w:t>
            </w:r>
          </w:p>
        </w:tc>
        <w:tc>
          <w:tcPr>
            <w:vAlign w:val="top"/>
          </w:tcPr>
          <w:p w:rsidR="00000000" w:rsidDel="00000000" w:rsidP="00000000" w:rsidRDefault="00000000" w:rsidRPr="00000000" w14:paraId="0000008B">
            <w:pPr>
              <w:spacing w:line="360" w:lineRule="auto"/>
              <w:jc w:val="both"/>
              <w:rPr>
                <w:sz w:val="24"/>
                <w:szCs w:val="24"/>
              </w:rPr>
            </w:pPr>
            <w:r w:rsidDel="00000000" w:rsidR="00000000" w:rsidRPr="00000000">
              <w:rPr>
                <w:sz w:val="24"/>
                <w:szCs w:val="24"/>
                <w:rtl w:val="0"/>
              </w:rPr>
              <w:t xml:space="preserve">In case of one of the positive cases, both techniques recognized thalassemia and chest pain as the most powerful drivers. </w:t>
            </w:r>
          </w:p>
        </w:tc>
      </w:tr>
    </w:tbl>
    <w:p w:rsidR="00000000" w:rsidDel="00000000" w:rsidP="00000000" w:rsidRDefault="00000000" w:rsidRPr="00000000" w14:paraId="0000008C">
      <w:pPr>
        <w:spacing w:line="360" w:lineRule="auto"/>
        <w:jc w:val="both"/>
        <w:rPr>
          <w:sz w:val="24"/>
          <w:szCs w:val="24"/>
        </w:rPr>
      </w:pPr>
      <w:r w:rsidDel="00000000" w:rsidR="00000000" w:rsidRPr="00000000">
        <w:rPr>
          <w:sz w:val="24"/>
          <w:szCs w:val="24"/>
          <w:rtl w:val="0"/>
        </w:rPr>
        <w:br w:type="textWrapping"/>
        <w:t xml:space="preserve">The pipeline generated a clean complete dataset that allows all the five classifiers to achieve an AUC value between 0.935 and 0.960 with cross validation giving stability. Random Forest provided an optimal clinical performance (0.87 precision, 0.93 recall). Chest pain type, thalassemia, number of vessels, and ST segment characteristics were identified as the most significant predictors of Global SHAP analysis - also agreeing with other existing body of literature. Local explanations using SHAP and LIME all reduce to the same high impact features on an individual patient, and provide patient specific transparency. These results fulfill the main goal of the project: a readable, trustworthy ML system to predict early heart disease that provides a population level understanding, as well as an individual justification [29].</w:t>
      </w:r>
    </w:p>
    <w:p w:rsidR="00000000" w:rsidDel="00000000" w:rsidP="00000000" w:rsidRDefault="00000000" w:rsidRPr="00000000" w14:paraId="0000008D">
      <w:pPr>
        <w:spacing w:after="160" w:line="360" w:lineRule="auto"/>
        <w:jc w:val="both"/>
        <w:rPr>
          <w:sz w:val="32"/>
          <w:szCs w:val="32"/>
        </w:rPr>
      </w:pPr>
      <w:r w:rsidDel="00000000" w:rsidR="00000000" w:rsidRPr="00000000">
        <w:rPr>
          <w:b w:val="1"/>
          <w:bCs w:val="1"/>
          <w:sz w:val="32"/>
          <w:szCs w:val="32"/>
          <w:rtl w:val="0"/>
        </w:rPr>
        <w:t xml:space="preserve">V. 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 xml:space="preserve">Experimental findings are significant indications that an explainable machine learning pipeline can be used to achieve high predictive accuracy, yet makes sense in clinical reasons. </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 xml:space="preserve">A. Performance of the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rsidDel="00000000" w:rsidR="00000000" w:rsidRPr="00000000">
        <w:rPr>
          <w:sz w:val="24"/>
          <w:szCs w:val="24"/>
          <w:rtl w:val="0"/>
        </w:rPr>
        <w:t xml:space="preserve">The five average classifiers performed high discriminative behaviour with the highest AUC value of 0.935 (XGBoost) and the lowest AUC value of 0.960 (Logistic Regression and SVM). That the spread of these metrics is only slightly less than 0.025 suggests that the engineered feature set and training procedure to balance (with less than 0.025 difference) was robust enough to make model choice secondary. Both Logistic Regression and SVM have the highest AUC, which may be considered counterintuitive to the fact that many clinical relations are nonlinear. This finding, however, highlights the usefulness of z-score normalisation, outlier capping and one-hot encoding to generate linearly separable feature representations. It even justifies the choice that emphasises a thorough preprocessing pipeline instead of arbitrary model complexity [30].</w:t>
      </w:r>
    </w:p>
    <w:p w:rsidR="00000000" w:rsidDel="00000000" w:rsidP="00000000" w:rsidRDefault="00000000" w:rsidRPr="00000000" w14:paraId="00000091">
      <w:pPr>
        <w:spacing w:line="360" w:lineRule="auto"/>
        <w:jc w:val="both"/>
        <w:rPr>
          <w:sz w:val="24"/>
          <w:szCs w:val="24"/>
        </w:rPr>
      </w:pPr>
      <w:r w:rsidDel="00000000" w:rsidR="00000000" w:rsidRPr="00000000">
        <w:rPr>
          <w:sz w:val="24"/>
          <w:szCs w:val="24"/>
          <w:rtl w:val="0"/>
        </w:rPr>
        <w:t xml:space="preserve">Random Forest was chosen as the main model to be explained due to the balancing effect between the model precision (attained 0.87) and recall (reached 0.93). The most important in the context of a screening test is recall: a miss of a true disease case (false negative) has much more clinical risk than a false alarm. The model with a recall of 0.93 indicates that only 7% 85% disease cases had been missed, which is comparable to or even higher than many other existing risk scores. The precision penalty (0.87) is not high but can be tolerated since it does not mean that more than one in five patients flagged would be referred unnecessarily to further testing. This is a trade-off that is well visualized in the confusion matrix and classification report and is consistent with the ethical stance of the project, one of assisting, but not replacing, clinical judgement [31].</w:t>
      </w:r>
    </w:p>
    <w:p w:rsidR="00000000" w:rsidDel="00000000" w:rsidP="00000000" w:rsidRDefault="00000000" w:rsidRPr="00000000" w14:paraId="00000092">
      <w:pPr>
        <w:spacing w:line="360" w:lineRule="auto"/>
        <w:jc w:val="both"/>
        <w:rPr>
          <w:sz w:val="24"/>
          <w:szCs w:val="24"/>
        </w:rPr>
      </w:pPr>
      <w:r w:rsidDel="00000000" w:rsidR="00000000" w:rsidRPr="00000000">
        <w:rPr>
          <w:sz w:val="24"/>
          <w:szCs w:val="24"/>
          <w:rtl w:val="0"/>
        </w:rPr>
        <w:t xml:space="preserve">An important observation is that the models are stable when they are subjected to cross-validation with the view of the model less than five times. The performance was not elevated due to some sort of happen-chance train test split. This regularity is a direct consequence of the stratified divide, fixed random seed, and SMOTE integration of each fold, ensuring that the pipeline generalizes in a reliable manner with respect to unseen data [32].</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rsidDel="00000000" w:rsidR="00000000" w:rsidRPr="00000000">
        <w:rPr>
          <w:sz w:val="24"/>
          <w:szCs w:val="24"/>
          <w:rtl w:val="0"/>
        </w:rPr>
        <w:t xml:space="preserve">The values of AUC found here (0.935-0.960) are favourable compared to recent studies. The RF accuracy of Saeed [2] was 90.2 Percent (but this is accuracy only, and it can be misleading in an imbalanced environment). In Waqar et al. [3], RF and XGBoost have an AUC of more than 0.90, but no precision-recall values and do not mention cross-validation variance. The present work builds upon the same findings and indicates that with proper preprocessing and SMOTE, linear models (SVM, Logistic Regression) can be pushed to their performance limits (comparable or even superior in their performance) and remain interpretable.</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 xml:space="preserve">The concept of adversarial testing presented here, although not completely automated, is also an incremental change to the existing literature. By considering noise injection at 5 % and 10 % of the feature standard deviation, the study admits the need for robustness tests in real-world applications, where noisy input data or incomplete input data may occur. Increased use of this test in the future will promote the credibility of the pipeline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rsidDel="00000000" w:rsidR="00000000" w:rsidRPr="00000000">
        <w:rPr>
          <w:sz w:val="24"/>
          <w:szCs w:val="24"/>
          <w:rtl w:val="0"/>
        </w:rPr>
        <w:t xml:space="preserve">It was seen that the global SHAP analysis revealed particular factors to be the best predictors of heart disease: asymptomatic chest pain, reversible thalassemia defect, number of diseased vessels, ST depression, and exercise-induced angina. This ranking is not only consistent with clinical intuition, silent ischemia, abnormal thalassemia, and extensive involvement of the coronary artery are all diagnostic risk factors, but also replicates the results. The fact that these independent studies converged to learn about the same set of predictors gives much weight to the validity of the model [34].</w:t>
      </w:r>
    </w:p>
    <w:p w:rsidR="00000000" w:rsidDel="00000000" w:rsidP="00000000" w:rsidRDefault="00000000" w:rsidRPr="00000000" w14:paraId="00000098">
      <w:pPr>
        <w:spacing w:line="360" w:lineRule="auto"/>
        <w:jc w:val="both"/>
        <w:rPr>
          <w:sz w:val="24"/>
          <w:szCs w:val="24"/>
        </w:rPr>
      </w:pPr>
      <w:r w:rsidDel="00000000" w:rsidR="00000000" w:rsidRPr="00000000">
        <w:rPr>
          <w:sz w:val="24"/>
          <w:szCs w:val="24"/>
          <w:rtl w:val="0"/>
        </w:rPr>
        <w:t xml:space="preserve">The fact that the study has a two-sided local explanatory strategy is what makes it unique. Both the SHAP waterfall plot and the LIME explanation of a single positive patient emphasised thalassemia status and non-symptomatic chest pain as the key with almost equal importance, yet the algorithms used in the two studies were radically different. This convergence is, however, non-trivial: it shows that the decision taken by the model, in that particular individual, is not an artefact of a single explanatory approach, but a strong signal that a clinician can utilise. The decomposition of the 0.77 prediction using the watermark plot to give a transparent, auditable trail allows the watermark plot to address the critique of black box methods that have historically limited the adoption of ML technology in the medical field [35].</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There are several restrictions that have to be noted. To begin with, the Cleveland data is small (n=304), and they represent a single United States medical centre. This limits its generalisability to populations with varying demographics, lifestyle choices or healthcare services. Before any actual deployment into the real world, external validation on diverse ethnically and geographically spread cohorts of patients is necessary. Second, the binary target (abnormal vs. normal) collapses the original five-point disease severity scale, and it gets rid of potentially valuable information on disease progression. There may be more precise risk stratification by a multi-class classification, which is clinically desirable. Third, although SMOTE is useful for balanced training data, synthetic samples can also cause various artefacts, potentially affecting feature importance estimates. Fourth, adversarial testing is theoretical, where empirical data on the degradation of AUC under noise has not been collected. Lastly, SHAP and LIME are used to explain the factors in an associative, rather than causal manner; collider bias or the presence of unmeasured confounders cannot be discounted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 xml:space="preserve">Based on this, there are several extensions that are justified. The pipeline is supposed to be tested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spacing w:after="160" w:line="360" w:lineRule="auto"/>
        <w:jc w:val="both"/>
        <w:rPr>
          <w:sz w:val="32"/>
          <w:szCs w:val="32"/>
        </w:rPr>
      </w:pPr>
      <w:r w:rsidDel="00000000" w:rsidR="00000000" w:rsidRPr="00000000">
        <w:rPr>
          <w:b w:val="1"/>
          <w:bCs w:val="1"/>
          <w:sz w:val="32"/>
          <w:szCs w:val="32"/>
          <w:rtl w:val="0"/>
        </w:rPr>
        <w:t xml:space="preserve">VI. 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 xml:space="preserve">To sum it up, this study has embarked on the work of establishing an explainable machine learning framework to initial prediction of heart disease based on the CRISP DM approach and a sense of clinical transparency. The resultant pipeline was effective at preprocessing the UCI Cleveland dataset, being able to deal with missing values and outliers, classes can be balanced with SMOTE, and five classifiers can be benchmarked using an extensive set of metrics. Logistic Regression and SVM performed best in terms of AUC (0.960), whereas the Random Forest gave the best precision and recall ratio to balance (0.87 precision, 0.93 recall) with a high level of interpretability.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 xml:space="preserve">The combination of SHAP and LIME was especially beneficial. The significance of the predictors found was as follows: the most influential predictors were the presence of asymptomatic chest pain, reversible thalassemia, count of vessels and ST segment characteristics, all of which are both clinically plausible and correspond to the previous literature. Local cause of an individual patient proved that SHAP and LIME arrived at the same causes and supported the credibility of those choices made by the model. In five-fold cross-validation, AUC variance was found to be less than 0.03, which is considered to be the stability of the pipeline.</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Though the single-centre data and binary target do not allow the generalisability, the project also offers a strong platform on which future work, e.g. multi-centre validation, multi-class severity prediction and its deployment as a real-time clinical tool can be based. Lastly, the research confirms that it is possible to get a combination of high predictive performance and an actual interpretation, bringing machine learning a step closer to the use that is safe, equitable and trusted by cardiovascular medicine. </w:t>
      </w: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