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Cardiovascular disease (CVD) remains the leading cause of death globally, yet early detection is hampered by cost and accessibility barriers. Machine learning offers predictive potential, but opaque models reduce clinical trust. This study presents an explainable ML framework for early heart disease prediction using the combined UCI heart disease dataset (n=920, four centres) under the CRISP-DM methodology. Five classifiers — Logistic Regression, Random Forest, XGBoost, SVM, and KNN — were evaluated across accuracy, precision, recall, F1, and AUC following median/mode imputation, IQR outlier capping, and SMOTE balancing applied strictly within stratified 5-fold cross-validation to prevent data leakage. Random Forest achieved the highest test AUC (0.916) with Precision=0.857 and Recall=0.882; SVM and XGBoost both achieved the highest recall (0.902), minimising missed diagnoses. Cross-validation AUC standard deviations remained below 0.041 across all models. SHAP analysis identified ST depression (oldpeak), asymptomatic chest pain, and exercise-induced angina as the strongest global predictors, consistent with established cardiology literature. SHAP waterfall and LIME explanations for individual patients converged on the same clinical drivers, providing independent cross-validation of model reasoning. The framework adheres to the ACM Code of Ethics and BCS Code of Conduct, and is positioned as a decision support tool rather than an autonomous diagnostic system, demonstrating that interpretable ML can achieve high predictive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Cardiovascular disease (CVD) is the leading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This study addresses that gap by developing an interpretable ML framework for early heart disease detection. The framework combines powerful predictive modelling with explainability tools, enabling clinicians to interrogate and understand each prediction. The study uses the combined UCI heart disease dataset and follows the CRISP-DM methodology to ensure structured, reproducible, and transparent analysis [3].</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Preprocess the UCI data to handle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To assess robustness, a conceptual adversarial validation protocol was designed: Gaussian noise at 5% and 10% of each feature's standard deviation would be injected into test samples, and the resulting degradation in AUC and SHAP attribution stability would be measured. This test was designed at the methodology level but was not implemented as a fully automated pipeline in this study; it is acknowledged as a planned extension for future work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Interpretability was addressed using two complementary approaches. For global explanation, SHAP values were computed for the best-performing model (Random Forest), with a bee swarm summary plot visualising feature importance across the positive class. For local explanation, the prediction for a single true-positive patient was decomposed using a SHAP waterfall plot, showing each feature's contribution to the final prediction. LIME provided a second independent local explanation by fitting a sparse linear approximation around the same patient instance. To apply LIME to the one-hot encoded feature space, the preprocessed numpy array was passed directly to a custom predict_proba wrapper operating on the Random Forest classifier. This dual-method XAI design provides both population-level and patient-specific justification, supporting clinical trust in the model's decisions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rPr/>
        <w:t>Five-fold stratified cross-validation on the training set (n=736) with SMOTE applied inside each fold showed SVM achieving the highest CV AUC of 0.890 ± 0.023, followed by Logistic Regression (0.883 ± 0.023), Random Forest (0.876 ± 0.022), KNN (0.860 ± 0.041), and XGBoost (0.859 ± 0.026). On the held-out test set (n=184), Random Forest achieved the highest AUC of 0.916 and best precision-recall balance (Precision=0.857, Recall=0.882, F1=0.870). XGBoost and SVM both achieved the highest recall of 0.902, meaning they missed the fewest disease-positive cases (FN=10 each). The confusion matrix true positive / false negative counts per model were: Logistic Regression (TP=88, FN=14), Random Forest (TP=90, FN=12), XGBoost (TP=92, FN=10), SVM (TP=92, FN=10), KNN (TP=83, FN=19). KNN recorded the highest false negative count (FN=19), indicating the most missed diagnoses. Full metrics are reported in Table I (cross-validation) and Table II (test set).</w:t>
      </w:r>
    </w:p>
    <w:p w:rsidR="00000000" w:rsidDel="00000000" w:rsidP="00000000" w:rsidRDefault="00000000" w:rsidRPr="00000000" w14:paraId="00000051">
      <w:pPr>
        <w:spacing w:line="360" w:lineRule="auto"/>
        <w:jc w:val="both"/>
        <w:rPr>
          <w:sz w:val="24"/>
          <w:szCs w:val="24"/>
        </w:rPr>
      </w:pPr>
      <w:r>
        <w:rPr/>
        <w:t>The ROC curves (Figure 8) provide a threshold-independent measure of discrimination. All five classifiers performed well above the diagonal random-guess baseline. Random Forest achieved the highest test AUC of 0.916, followed by SVM (0.913), XGBoost (0.903), Logistic Regression (0.900), and KNN (0.880). The tight clustering of four models between AUC 0.900–0.916 confirms that the preprocessing pipeline and SMOTE-augmented training produced consistently reliable classifiers. KNN sat noticeably lower, consistent with its instance-based learning being more sensitive to the high-missingness features in the dataset.</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rPr/>
        <w:t>Random Forest was selected as the primary model for explainability analysis due to its highest test AUC (0.916) and best overall precision-recall balance. The confusion matrix (Figure 9) shows that on the 184-case test set, Random Forest correctly classified 67 true negatives and 90 true positives, with 15 false positives and 12 false negatives. Missing only 12 disease-positive cases out of 102 gives a recall of 0.882, meaning 88.2% of actual heart disease patients were correctly identified. The 15 false positives represent patients flagged as disease-positive who were healthy — an acceptable trade-off in a clinical screening context where missing a true case carries greater risk than an unnecessary follow-up.</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t>The most influential predictor globally is oldpeak (ST depression): elevated ST depression values consistently receive large positive SHAP contributions, pushing predictions toward disease. Exercise-induced angina (exang_TRUE) and asymptomatic chest pain (cp_asymptomatic) are the next strongest global predictors, with SHAP values reaching up to +0.08 and +0.06 respectively for individual patients. Age contributes positively at higher values, while normal thalassemia (thal_normal) and female sex (sex_Female) are associated with lower disease probability. These rankings are clinically consistent: ST depression, exercise angina, and asymptomatic chest pain are well-established indicators of coronary artery disease in the cardiology literature.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These rankings of global importance are congruent with the literature: Azimi Lemir 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t>Although global feature importance reveals average model behaviour, clinical trust depends on understanding individual predictions. Two complementary local explanation methods were applied to the same true-positive patient (Patient 1): SHAP waterfall and LIME. SHAP decomposes the prediction by attributing exact Shapley values to each feature based on cooperative game theory, while LIME fits a locally faithful linear approximation around the specific patient instance. Applying both independently to the same patient allows cross-validation of the explanation — if both methods agree on the key drivers, this provides stronger evidence that the model is responding to clinically meaningful signals rather than data artefacts.</w:t>
      </w:r>
    </w:p>
    <w:p w:rsidR="00000000" w:rsidDel="00000000" w:rsidP="00000000" w:rsidRDefault="00000000" w:rsidRPr="00000000" w14:paraId="0000006D">
      <w:pPr>
        <w:spacing w:line="360" w:lineRule="auto"/>
        <w:jc w:val="both"/>
        <w:rPr>
          <w:sz w:val="24"/>
          <w:szCs w:val="24"/>
        </w:rPr>
      </w:pPr>
      <w:r>
        <w:t>The SHAP Waterfall Plot (Figure 15) breaks down the prediction for Patient 1 (True Positive) from the base value E[f(x)] = 0.501 — the model's average prediction across all patients — to the final prediction f(x) = 0.88. The strongest positive contributor was ST depression (oldpeak = 2.839, SHAP = +0.11), indicating that the patient's elevated ST depression pushed the disease probability up by 0.11. Exercise-induced angina (exang_TRUE, SHAP = +0.08) and asymptomatic chest pain (cp_asymptomatic, SHAP = +0.06) were the next strongest drivers. Additional positive contributions came from the absence of exercise angina encoding (exang_FALSE, +0.05), older age (age = 0.792 normalised, +0.04), absence of normal thalassemia (thal_normal, +0.03), and absence of atypical angina (cp_atypical angina, +0.02). The only negative contributors were low vessel count (ca = -0.358 normalised, -0.01) and fixed thalassemia defect (thal_fixed defect, -0.01), which marginally pulled the prediction toward no disease. The remaining 16 features contributed a combined +0.02.</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t>The LIME explanation for the same true-positive patient (Patient 1) corroborates the SHAP findings using an entirely independent local approximation method. The top positive contributors to the disease prediction were: asymptomatic chest pain (cp_asymptomatic, +0.13), elevated ST depression (oldpeak &gt; 0.64, +0.13), exercise-induced angina (exang_TRUE, +0.10), absence of atypical angina (cp_atypical angina ≤ 0.00, +0.09), and older age (age &gt; 0.68, +0.07). Negative contributors — features pushing the prediction toward no disease — were: low vessel count (ca ≤ -0.36, -0.05) and absence of reversable thalassemia defect (thal_reversable defect ≤ 0.00, -0.04). The convergence between SHAP and LIME on asymptomatic chest pain and exercise-induced angina as the strongest disease drivers, despite using fundamentally different explanation algorithms, strengthens confidence in the clinical validity of the model's decision-making.</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
              <w:t>#</w:t>
            </w:r>
          </w:p>
        </w:tc>
        <w:tc>
          <w:tcPr>
            <w:vAlign w:val="top"/>
          </w:tcPr>
          <w:p>
            <w:r>
              <w:t>Finding</w:t>
            </w:r>
          </w:p>
        </w:tc>
        <w:tc>
          <w:tcPr>
            <w:vAlign w:val="top"/>
          </w:tcPr>
          <w:p>
            <w:r>
              <w:t>Evidence</w:t>
            </w:r>
          </w:p>
        </w:tc>
      </w:tr>
      <w:tr>
        <w:trPr>
          <w:cantSplit w:val="0"/>
          <w:tblHeader w:val="0"/>
        </w:trPr>
        <w:tc>
          <w:tcPr>
            <w:vAlign w:val="top"/>
          </w:tcPr>
          <w:p>
            <w:r>
              <w:t>1</w:t>
            </w:r>
          </w:p>
        </w:tc>
        <w:tc>
          <w:tcPr>
            <w:vAlign w:val="top"/>
          </w:tcPr>
          <w:p>
            <w:r>
              <w:t>Data integrity achieved</w:t>
            </w:r>
          </w:p>
        </w:tc>
        <w:tc>
          <w:tcPr>
            <w:vAlign w:val="top"/>
          </w:tcPr>
          <w:p>
            <w:r>
              <w:t>Zero missing values after imputation; outliers capped via IQR 1.5x; oldpeak negative values corrected to 0.</w:t>
            </w:r>
          </w:p>
        </w:tc>
      </w:tr>
      <w:tr>
        <w:trPr>
          <w:cantSplit w:val="0"/>
          <w:tblHeader w:val="0"/>
        </w:trPr>
        <w:tc>
          <w:tcPr>
            <w:vAlign w:val="top"/>
          </w:tcPr>
          <w:p>
            <w:r>
              <w:t>2</w:t>
            </w:r>
          </w:p>
        </w:tc>
        <w:tc>
          <w:tcPr>
            <w:vAlign w:val="top"/>
          </w:tcPr>
          <w:p>
            <w:r>
              <w:t>Strong classifier performance</w:t>
            </w:r>
          </w:p>
        </w:tc>
        <w:tc>
          <w:tcPr>
            <w:vAlign w:val="top"/>
          </w:tcPr>
          <w:p>
            <w:r>
              <w:t>Random Forest: test AUC=0.917, accuracy=0.853, precision=0.850, recall=0.892, F1=0.871. SVM: highest recall=0.902. All models test AUC &gt; 0.878.</w:t>
            </w:r>
          </w:p>
        </w:tc>
      </w:tr>
      <w:tr>
        <w:trPr>
          <w:cantSplit w:val="0"/>
          <w:tblHeader w:val="0"/>
        </w:trPr>
        <w:tc>
          <w:tcPr>
            <w:vAlign w:val="top"/>
          </w:tcPr>
          <w:p>
            <w:r>
              <w:t>3</w:t>
            </w:r>
          </w:p>
        </w:tc>
        <w:tc>
          <w:tcPr>
            <w:vAlign w:val="top"/>
          </w:tcPr>
          <w:p>
            <w:r>
              <w:t>Stable cross-validation</w:t>
            </w:r>
          </w:p>
        </w:tc>
        <w:tc>
          <w:tcPr>
            <w:vAlign w:val="top"/>
          </w:tcPr>
          <w:p>
            <w:r>
              <w:t>AUC SD &lt; 0.026 for 4 of 5 models across 5-fold stratified CV; KNN SD = 0.043 (highest variance).</w:t>
            </w:r>
          </w:p>
        </w:tc>
      </w:tr>
      <w:tr>
        <w:trPr>
          <w:cantSplit w:val="0"/>
          <w:tblHeader w:val="0"/>
        </w:trPr>
        <w:tc>
          <w:tcPr>
            <w:vAlign w:val="top"/>
          </w:tcPr>
          <w:p>
            <w:r>
              <w:t>4</w:t>
            </w:r>
          </w:p>
        </w:tc>
        <w:tc>
          <w:tcPr>
            <w:vAlign w:val="top"/>
          </w:tcPr>
          <w:p>
            <w:r>
              <w:t>Global SHAP: clinically plausible predictors</w:t>
            </w:r>
          </w:p>
        </w:tc>
        <w:tc>
          <w:tcPr>
            <w:vAlign w:val="top"/>
          </w:tcPr>
          <w:p>
            <w:r>
              <w:t>Top predictors: asymptomatic chest pain, reversible thalassemia, major vessel count, ST depression, exercise angina.</w:t>
            </w:r>
          </w:p>
        </w:tc>
      </w:tr>
      <w:tr>
        <w:trPr>
          <w:cantSplit w:val="0"/>
          <w:tblHeader w:val="0"/>
        </w:trPr>
        <w:tc>
          <w:tcPr>
            <w:vAlign w:val="top"/>
          </w:tcPr>
          <w:p>
            <w:r>
              <w:t>5</w:t>
            </w:r>
          </w:p>
        </w:tc>
        <w:tc>
          <w:tcPr>
            <w:vAlign w:val="top"/>
          </w:tcPr>
          <w:p>
            <w:r>
              <w:t>Local convergence of SHAP &amp; LIME</w:t>
            </w:r>
          </w:p>
        </w:tc>
        <w:tc>
          <w:tcPr>
            <w:vAlign w:val="top"/>
          </w:tcPr>
          <w:p>
            <w:r>
              <w:t>For a true-positive patient, both SHAP waterfall and LIME independently identified thalassemia and chest pain as the strongest drivers.</w:t>
            </w:r>
          </w:p>
        </w:tc>
      </w:tr>
    </w:tbl>
    <w:p w:rsidR="00000000" w:rsidDel="00000000" w:rsidP="00000000" w:rsidRDefault="00000000" w:rsidRPr="00000000" w14:paraId="0000008C">
      <w:pPr>
        <w:spacing w:line="360" w:lineRule="auto"/>
        <w:jc w:val="both"/>
        <w:rPr>
          <w:sz w:val="24"/>
          <w:szCs w:val="24"/>
        </w:rPr>
      </w:pPr>
      <w:r>
        <w:t>The pipeline produced a clean dataset enabling all five classifiers to achieve AUC values between 0.858 and 0.889 in 5-fold stratified cross-validation, with AUC standard deviations below 0.041 for four of the five models. SVM achieved the highest AUC (0.889), while Random Forest offered the best balance of precision (0.825 ± 0.045) and recall (0.835 ± 0.024). SHAP analysis identified asymptomatic chest pain, thalassemia type, and number of major vessels as the strongest predictors, consistent with established clinical knowledge.</w:t>
      </w:r>
    </w:p>
    <w:p w:rsidR="00000000" w:rsidDel="00000000" w:rsidP="00000000" w:rsidRDefault="00000000" w:rsidRPr="00000000" w14:paraId="0000008D">
      <w:pPr>
        <w:pStyle w:val="Heading1"/>
        <w:spacing w:after="160" w:line="360" w:lineRule="auto"/>
        <w:jc w:val="both"/>
        <w:rPr>
          <w:sz w:val="32"/>
          <w:szCs w:val="32"/>
        </w:rPr>
      </w:pPr>
      <w:r w:rsidDel="00000000" w:rsidR="00000000" w:rsidRPr="00000000">
        <w:rPr>
          <w:b w:val="1"/>
          <w:bCs w:val="1"/>
          <w:sz w:val="32"/>
          <w:szCs w:val="32"/>
          <w:rtl w:val="0"/>
        </w:rPr>
        <w:t>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The experimental results demonstrate that an explainable machine learning pipeline can achieve strong predictive performance while remaining interpretable in clinical terms.</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A.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rPr/>
        <w:t>All five classifiers achieved strong performance on the held-out test set (n=184). Random Forest recorded the highest AUC (0.916) with 90 true positives and 12 false negatives. SVM and XGBoost both achieved the highest recall (0.902) with only 10 false negatives each — making them the most clinically conservative classifiers for minimising missed diagnoses. Logistic Regression was competitive (AUC=0.900, TP=88, FN=14) despite its simplicity, reinforcing that the preprocessing pipeline and SMOTE drove much of the performance gain. XGBoost matched SVM on recall but recorded a lower AUC (0.903). KNN was the weakest performer with 19 false negatives and AUC 0.880, consistent with its higher cross-validation variance (SD=0.041) — likely a consequence of its instance-based learning being more sensitive to the SMOTE synthetic samples and high-missingness features.</w:t>
      </w:r>
    </w:p>
    <w:p w:rsidR="00000000" w:rsidDel="00000000" w:rsidP="00000000" w:rsidRDefault="00000000" w:rsidRPr="00000000" w14:paraId="00000091">
      <w:pPr>
        <w:spacing w:line="360" w:lineRule="auto"/>
        <w:jc w:val="both"/>
        <w:rPr>
          <w:sz w:val="24"/>
          <w:szCs w:val="24"/>
        </w:rPr>
      </w:pPr>
      <w:r>
        <w:rPr/>
        <w:t>Random Forest was selected as the primary model for SHAP and LIME explanation due to its highest test AUC (0.916) and strong recall (0.882), meaning it correctly identified 88.2% of all disease-positive cases in the test set. Its precision of 0.857 indicates that 85.7% of its positive predictions were correct, giving a reliable and balanced clinical decision-support profile.</w:t>
      </w:r>
    </w:p>
    <w:p w:rsidR="00000000" w:rsidDel="00000000" w:rsidP="00000000" w:rsidRDefault="00000000" w:rsidRPr="00000000" w14:paraId="00000092">
      <w:pPr>
        <w:spacing w:line="360" w:lineRule="auto"/>
        <w:jc w:val="both"/>
        <w:rPr>
          <w:sz w:val="24"/>
          <w:szCs w:val="24"/>
        </w:rPr>
      </w:pPr>
      <w:r>
        <w:t>Cross-validation stability was strong across four models, with AUC standard deviations below 0.041. KNN was the exception with SD=0.043, indicating higher sensitivity to the specific composition of each fold — likely a consequence of its instance-based learning being more affected by the SMOTE synthetic samples in training folds. The consistent performance across folds validates the robustness of the CRISP-DM pipeline.</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rPr/>
        <w:t>The test set AUC values obtained here (0.880–0.916) compare favourably with recent literature. Waqar et al. (2025) reported RF and XGBoost AUC values above 0.90 on the UCI dataset, consistent with our Random Forest AUC of 0.916 [8]. Lamir et al. (2025) reported similar accuracy ranges using ensemble methods [8]. The present study adds to these results by applying SMOTE strictly within cross-validation folds to prevent data leakage — a methodological control not consistently applied in prior work — and by providing both global (SHAP) and local (LIME) explanations for individual predictions [26].</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The conceptual adversarial validation protocol described in this study — injecting Gaussian noise at 5% and 10% of each feature's standard deviation — represents an incremental contribution relative to existing literature. While not fully implemented as an automated pipeline in this study, the design acknowledges the need for robustness testing in real-world deployments where input data may be noisy or incomplete. Full implementation is identified as a priority for future work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t>The SHAP waterfall analysis for Patient 1 identified ST depression (oldpeak, +0.11), exercise-induced angina (exang_TRUE, +0.08), and asymptomatic chest pain (cp_asymptomatic, +0.06) as the three strongest drivers of the disease prediction, lifting the base probability from 0.501 to a final score of 0.88. LIME independently identified asymptomatic chest pain (+0.13) and ST depression (oldpeak &gt; 0.64, +0.13) as the top two contributors for the same patient. The agreement between these two algorithmically independent methods on the same top features provides strong evidence that the model is responding to genuine clinical signals rather than data artefacts. All three features — ST depression, exercise angina, and asymptomatic chest pain — are well-recognised indicators of coronary artery disease, confirming the clinical plausibility of the model's decision-making process.</w:t>
      </w:r>
    </w:p>
    <w:p w:rsidR="00000000" w:rsidDel="00000000" w:rsidP="00000000" w:rsidRDefault="00000000" w:rsidRPr="00000000" w14:paraId="00000098">
      <w:pPr>
        <w:spacing w:line="360" w:lineRule="auto"/>
        <w:jc w:val="both"/>
        <w:rPr>
          <w:sz w:val="24"/>
          <w:szCs w:val="24"/>
        </w:rPr>
      </w:pPr>
      <w:r>
        <w:t>The local explanation analysis demonstrates strong convergence between SHAP and LIME for Patient 1. LIME identified asymptomatic chest pain (+0.13) and elevated ST depression (+0.13) as the two strongest disease predictors, with exercise-induced angina (+0.10) and older age (+0.07) also contributing positively. SHAP independently ranked asymptomatic chest pain and exercise-induced angina among the top drivers for the same patient. This agreement between two algorithmically distinct methods — one based on Shapley values, the other on local linear approximation — provides strong evidence that the model is capturing genuine clinical signals. Both findings are consistent with established cardiology literature, where asymptomatic chest pain, ST depression, and exercise-induced angina are well-recognised indicators of coronary artery disease.</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Several limitations must be acknowledged. First, although the dataset combines all four UCI centre subsets (n=920), missingness is severe in two key features: ca is missing in 66.4% of records and thal in 52.8%. The imputed values for these features may not reflect true clinical measurements and could bias feature importance estimates. Second, the dataset remains limited in geographic and demographic diversity, restricting external generalisability to other populations. Third, the binary target collapses the original five-point disease severity scale, removing clinically valuable information about disease progression. Fourth, SMOTE generates synthetic samples that may introduce artefacts affecting SHAP importance values. Fifth, the adversarial robustness testing was designed conceptually only and was not implemented as a fully automated pipeline. Finally, SHAP and LIME explain associations between features and predictions; they do not establish causal relationships, and unmeasured confounders cannot be excluded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Based on this, there are several extensions that are justified. The pipeline is should be validated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pStyle w:val="Heading1"/>
        <w:spacing w:after="160" w:line="360" w:lineRule="auto"/>
        <w:jc w:val="both"/>
        <w:rPr>
          <w:sz w:val="32"/>
          <w:szCs w:val="32"/>
        </w:rPr>
      </w:pPr>
      <w:r w:rsidDel="00000000" w:rsidR="00000000" w:rsidRPr="00000000">
        <w:rPr>
          <w:b w:val="1"/>
          <w:bCs w:val="1"/>
          <w:sz w:val="32"/>
          <w:szCs w:val="32"/>
          <w:rtl w:val="0"/>
        </w:rPr>
        <w:t>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This study presented an explainable machine learning framework for early heart disease prediction, developed under the CRISP-DM methodology with a focus on clinical transparency and reproducibility. The pipeline processed the combined UCI heart disease dataset (n=920, four centres), handled missing values and outliers, balanced classes using SMOTE within cross-validation folds, and benchmarked five classifiers across five metrics. Random Forest achieved the highest test AUC (0.916) and the best overall precision-recall balance (Precision=0.857, Recall=0.882). SVM and XGBoost achieved the highest recall (0.902), minimising missed diagnoses. Cross-validation AUC standard deviations remained below 0.041 across all models, confirming pipeline stability.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The combination of SHAP and LIME provided complementary layers of interpretability. Globally, SHAP identified ST depression (oldpeak), asymptomatic chest pain, and exercise-induced angina as the three strongest disease predictors — findings consistent with established cardiology literature. At the individual level, SHAP waterfall and LIME explanations for the same true-positive patient converged on the same top drivers, providing independent cross-validation of the model's clinical reasoning. This agreement between two algorithmically distinct methods strengthens confidence that the model responds to genuine clinical signals rather than data artefacts.</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