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sz w:val="40"/>
          <w:szCs w:val="40"/>
        </w:rPr>
        <w:sectPr>
          <w:pgSz w:h="16834" w:w="11909" w:orient="portrait"/>
          <w:pgMar w:bottom="1440" w:top="1440" w:left="1440" w:right="1440" w:header="720" w:footer="720"/>
          <w:pgNumType w:start="1"/>
          <w:cols w:equalWidth="0" w:num="1">
            <w:col w:space="0" w:w="9025.5"/>
          </w:cols>
        </w:sectPr>
      </w:pPr>
      <w:r w:rsidDel="00000000" w:rsidR="00000000" w:rsidRPr="00000000">
        <w:rPr>
          <w:b w:val="1"/>
          <w:bCs w:val="1"/>
          <w:sz w:val="40"/>
          <w:szCs w:val="40"/>
          <w:rtl w:val="0"/>
        </w:rPr>
        <w:t xml:space="preserve">Explainable Machine Learning Model for Early Prediction of Heart Disease</w:t>
      </w:r>
      <w:r w:rsidDel="00000000" w:rsidR="00000000" w:rsidRPr="00000000">
        <w:rPr>
          <w:rtl w:val="0"/>
        </w:rPr>
      </w:r>
    </w:p>
    <w:p w:rsidR="00000000" w:rsidDel="00000000" w:rsidP="00000000" w:rsidRDefault="00000000" w:rsidRPr="00000000" w14:paraId="00000002">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03">
      <w:pPr>
        <w:spacing w:after="200" w:line="360" w:lineRule="auto"/>
        <w:ind w:firstLine="274"/>
        <w:jc w:val="both"/>
        <w:rPr>
          <w:b w:val="1"/>
          <w:bCs w:val="1"/>
          <w:sz w:val="32"/>
          <w:szCs w:val="32"/>
        </w:rPr>
      </w:pPr>
      <w:r w:rsidDel="00000000" w:rsidR="00000000" w:rsidRPr="00000000">
        <w:rPr>
          <w:b w:val="1"/>
          <w:bCs w:val="1"/>
          <w:i w:val="1"/>
          <w:iCs w:val="1"/>
          <w:sz w:val="32"/>
          <w:szCs w:val="32"/>
          <w:rtl w:val="0"/>
        </w:rPr>
        <w:t xml:space="preserve">Abstract</w:t>
      </w:r>
      <w:r w:rsidDel="00000000" w:rsidR="00000000" w:rsidRPr="00000000">
        <w:rPr>
          <w:rtl w:val="0"/>
        </w:rPr>
      </w:r>
    </w:p>
    <w:p w:rsidR="00000000" w:rsidDel="00000000" w:rsidP="00000000" w:rsidRDefault="00000000" w:rsidRPr="00000000" w14:paraId="00000004">
      <w:pPr>
        <w:spacing w:after="160" w:line="360" w:lineRule="auto"/>
        <w:jc w:val="both"/>
        <w:rPr>
          <w:sz w:val="24"/>
          <w:szCs w:val="24"/>
        </w:rPr>
      </w:pPr>
      <w:r w:rsidDel="00000000" w:rsidR="00000000" w:rsidRPr="00000000">
        <w:rPr>
          <w:sz w:val="24"/>
          <w:szCs w:val="24"/>
          <w:rtl w:val="0"/>
        </w:rPr>
        <w:t>Cardiovascular disease (CVD) remains the leading cause of death globally, yet early detection is hampered by cost and accessibility barriers. Machine learning offers predictive potential, but opaque models reduce clinical trust. This study presents an explainable ML framework for early heart disease prediction using the combined UCI heart disease dataset (n=920, four centres) under the CRISP-DM methodology. Five classifiers — Logistic Regression, Random Forest, XGBoost, SVM, and KNN — were evaluated across accuracy, precision, recall, F1, and AUC following median/mode imputation, IQR outlier capping, and SMOTE balancing applied strictly within stratified 5-fold cross-validation to prevent data leakage. Random Forest achieved the highest test AUC (0.916) with Precision=0.857 and Recall=0.882; SVM and XGBoost both achieved the highest recall (0.902), minimising missed diagnoses. Cross-validation AUC standard deviations remained below 0.041 across all models. SHAP analysis identified ST depression (oldpeak), asymptomatic chest pain, and exercise-induced angina as the strongest global predictors, consistent with established cardiology literature. SHAP waterfall and LIME explanations for individual patients converged on the same clinical drivers, providing independent cross-validation of model reasoning. The framework adheres to the ACM Code of Ethics and BCS Code of Conduct, and is positioned as a decision support tool rather than an autonomous diagnostic system, demonstrating that interpretable ML can achieve high predictive accuracy with clinical explainability.</w:t>
      </w:r>
    </w:p>
    <w:p w:rsidR="00000000" w:rsidDel="00000000" w:rsidP="00000000" w:rsidRDefault="00000000" w:rsidRPr="00000000" w14:paraId="00000005">
      <w:pPr>
        <w:spacing w:after="160" w:line="360" w:lineRule="auto"/>
        <w:jc w:val="both"/>
        <w:rPr>
          <w:sz w:val="24"/>
          <w:szCs w:val="24"/>
        </w:rPr>
      </w:pPr>
      <w:r w:rsidDel="00000000" w:rsidR="00000000" w:rsidRPr="00000000">
        <w:rPr>
          <w:sz w:val="24"/>
          <w:szCs w:val="24"/>
          <w:rtl w:val="0"/>
        </w:rPr>
        <w:t xml:space="preserve">Keywords: Heart disease prediction; Explainable AI; SHAP; SMOTE; Machine learning.</w:t>
      </w:r>
    </w:p>
    <w:p w:rsidR="00000000" w:rsidDel="00000000" w:rsidP="00000000" w:rsidRDefault="00000000" w:rsidRPr="00000000" w14:paraId="00000006">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 Introduction </w:t>
      </w:r>
    </w:p>
    <w:p w:rsidR="00000000" w:rsidDel="00000000" w:rsidP="00000000" w:rsidRDefault="00000000" w:rsidRPr="00000000" w14:paraId="00000007">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Cardiovascular disease (CVD) is the most dominant cause of death in the world, taking at least 17.9 million lives annually according to the World Health Organization. Early diagnosis is important because the right intervention on time can help a great deal to bring the morbidity and mortality to a lot lower level. Nevertheless, the traditional diagnostic pathways, i.e., angiography and stress testing, are frequently not accessible to the disadvantaged groups because they are expensive, and special clinician providers are scarce. A promising candidate is machine learning (ML), which can analyse intricate clinical data to determine individuals at risk before they fall ill [1]. However, most models with high performance are black boxes, which do not reveal how the model makes its decisions. This lack of transparency weakens the trust of medical practitioners and inhibits the use of it in clinical settings, where it is as important to understand the rationale behind a prediction as it is to simply make a prediction [2].</w:t>
      </w:r>
    </w:p>
    <w:p w:rsidR="00000000" w:rsidDel="00000000" w:rsidP="00000000" w:rsidRDefault="00000000" w:rsidRPr="00000000" w14:paraId="00000008">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This study provides that gap by creating an elucidable ML model of the early identification of heart disease. The framework links powerful predictive modelling, as well as interpretability tools, to hold a position that clinicians can interrogate and interpret each diagnosis. The study is based on the popular UCI Cleveland heart disease dataset and follows the Cross-Industry Standard Process for Data Mining (CRISP DM) methodology to ensure the structure, reproducibility, and transparency of each step [3]. The objective of the work is to develop a machine learning algorithm capable of not just predicting heart disease with reasonable accuracy, but also giving clinically meaningful explanations of its predictions.</w:t>
      </w:r>
    </w:p>
    <w:p w:rsidR="00000000" w:rsidDel="00000000" w:rsidP="00000000" w:rsidRDefault="00000000" w:rsidRPr="00000000" w14:paraId="00000009">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To achieve this aim, five core objectives were defined:</w:t>
      </w:r>
    </w:p>
    <w:p w:rsidR="00000000" w:rsidDel="00000000" w:rsidP="00000000" w:rsidRDefault="00000000" w:rsidRPr="00000000" w14:paraId="0000000A">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Preprocess the UCI data to handlk  e missing values, encode categorical values and to normalize numeric values while also correcting outliers by the interquartile range.</w:t>
      </w:r>
    </w:p>
    <w:p w:rsidR="00000000" w:rsidDel="00000000" w:rsidP="00000000" w:rsidRDefault="00000000" w:rsidRPr="00000000" w14:paraId="0000000B">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the Synthetic Minority Oversampling Technique (SMOTE) to address the issue of class imbalance, but only within training folds, since data leakage would otherwise occur.</w:t>
      </w:r>
    </w:p>
    <w:p w:rsidR="00000000" w:rsidDel="00000000" w:rsidP="00000000" w:rsidRDefault="00000000" w:rsidRPr="00000000" w14:paraId="0000000C">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Compare five classifiers: Logistic Regression, Random Forest, XGBoost, Support Vector Machine, and K Nearest Neighbors using precision, recall, F1 score, and area under the ROC curve (AUC) with five-fold stratified cross-validation.</w:t>
      </w:r>
    </w:p>
    <w:p w:rsidR="00000000" w:rsidDel="00000000" w:rsidP="00000000" w:rsidRDefault="00000000" w:rsidRPr="00000000" w14:paraId="0000000D">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SHAP (Shapley Additive explanations) and LIME (Local Interpretable Model Agnostic Explanations) to create both global and local explanations about the behavior of the model, with the results demonstrating which clinical characteristics most affect the model predictions.</w:t>
      </w:r>
    </w:p>
    <w:p w:rsidR="00000000" w:rsidDel="00000000" w:rsidP="00000000" w:rsidRDefault="00000000" w:rsidRPr="00000000" w14:paraId="0000000E">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Ensure ethical, fair, and transparent model deployment by adhering to the ACM Code of Ethics and the BCS Code of Conduct, and by clearly communicating the model’s limitations.</w:t>
      </w:r>
    </w:p>
    <w:p w:rsidR="00000000" w:rsidDel="00000000" w:rsidP="00000000" w:rsidRDefault="00000000" w:rsidRPr="00000000" w14:paraId="0000000F">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The paper begins by providing an abstract and introduction that clarify cardiovascular disease as a worldwide health issue, as well as the necessity of interpretable ML. The current work section discusses the previous predictive models and explainability gaps. Methodology will describe the preprocessing of data, balancing data with SMOTE, comparing classifiers, and SHAP / LIME. Results assess model performance, showing an AUC of 0.946 by Random Forest and the top predictors [4]. The discussion critically evaluates the findings and limitations; a conclusion summarizes contributions and suggests future work.</w:t>
      </w:r>
    </w:p>
    <w:p w:rsidR="00000000" w:rsidDel="00000000" w:rsidP="00000000" w:rsidRDefault="00000000" w:rsidRPr="00000000" w14:paraId="0000001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Literature Review</w:t>
      </w:r>
    </w:p>
    <w:p w:rsidR="00000000" w:rsidDel="00000000" w:rsidP="00000000" w:rsidRDefault="00000000" w:rsidRPr="00000000" w14:paraId="00000011">
      <w:pPr>
        <w:spacing w:line="360" w:lineRule="auto"/>
        <w:jc w:val="both"/>
        <w:rPr>
          <w:sz w:val="28"/>
          <w:szCs w:val="28"/>
        </w:rPr>
      </w:pPr>
      <w:r w:rsidDel="00000000" w:rsidR="00000000" w:rsidRPr="00000000">
        <w:rPr>
          <w:b w:val="1"/>
          <w:bCs w:val="1"/>
          <w:sz w:val="28"/>
          <w:szCs w:val="28"/>
          <w:rtl w:val="0"/>
        </w:rPr>
        <w:t xml:space="preserve">A. Machine Learning for Cardiovascular Disease Prediction</w:t>
      </w:r>
      <w:r w:rsidDel="00000000" w:rsidR="00000000" w:rsidRPr="00000000">
        <w:rPr>
          <w:rtl w:val="0"/>
        </w:rPr>
      </w:r>
    </w:p>
    <w:p w:rsidR="00000000" w:rsidDel="00000000" w:rsidP="00000000" w:rsidRDefault="00000000" w:rsidRPr="00000000" w14:paraId="00000012">
      <w:pPr>
        <w:spacing w:line="360" w:lineRule="auto"/>
        <w:jc w:val="both"/>
        <w:rPr>
          <w:sz w:val="24"/>
          <w:szCs w:val="24"/>
        </w:rPr>
      </w:pPr>
      <w:r w:rsidDel="00000000" w:rsidR="00000000" w:rsidRPr="00000000">
        <w:rPr>
          <w:sz w:val="24"/>
          <w:szCs w:val="24"/>
          <w:rtl w:val="0"/>
        </w:rPr>
        <w:t xml:space="preserve">A wide variety of classifiers have been tested over the UCI Cleveland heart disease dataset, which has been used as a benchmark in the field. A comparison of logistic regression, support vector machine (SVM), and random forest (RF) in terms of accuracy, as the main measure, reported that RF performed the best in terms of accuracy. The use of accuracy alone in the study, however, is flawed; in a dataset where the disease-positive fraction of the sample is about 46 per cent of the samples, accuracy alone is able to disguise poor sample performance on the minority fraction. It is a lack that many early works have in common, and in general, it is hard to determine whether a study is clinically useful (a use that places false negatives in a very poor light), where false negatives are the determining factor [5].</w:t>
      </w:r>
    </w:p>
    <w:p w:rsidR="00000000" w:rsidDel="00000000" w:rsidP="00000000" w:rsidRDefault="00000000" w:rsidRPr="00000000" w14:paraId="00000013">
      <w:pPr>
        <w:spacing w:line="360" w:lineRule="auto"/>
        <w:jc w:val="both"/>
        <w:rPr>
          <w:sz w:val="24"/>
          <w:szCs w:val="24"/>
        </w:rPr>
      </w:pPr>
      <w:r w:rsidDel="00000000" w:rsidR="00000000" w:rsidRPr="00000000">
        <w:rPr>
          <w:sz w:val="24"/>
          <w:szCs w:val="24"/>
          <w:rtl w:val="0"/>
        </w:rPr>
        <w:t xml:space="preserve">Subsequent studies have focused on counteracting these shortcomings by using a deeper range of assessment standards. Waqar et al. (2025) utilized in total of five classifiers on multiparametric cardiac data and used AUC as a primary measure of performance. They discovered that ensemble methods (RF and XGBoost in particular) always performed better than individual learners, with RF and XGBoost AUC values greater than 0.90. Most importantly, they used SHAP to determine the most powerful predictors, revealing that the type of chest pains, the highest level of heart rate reached, and the slope of the ST segment were the most dominant predictors. This observation is consistent with the known medical science, based on the clinical conclusions that exercise-induced ST depression and a small heart rate response are a clinical expression of myocardial ischemia. Although this has occurred, the study failed to include a systematic preprocessing pipeline for data missing in any form or outlier management in any form or to examine how a class imbalance would affect the importance scores obtained using XAI methods in any way [6].</w:t>
      </w:r>
    </w:p>
    <w:p w:rsidR="00000000" w:rsidDel="00000000" w:rsidP="00000000" w:rsidRDefault="00000000" w:rsidRPr="00000000" w14:paraId="00000014">
      <w:pPr>
        <w:spacing w:line="360" w:lineRule="auto"/>
        <w:jc w:val="both"/>
        <w:rPr>
          <w:sz w:val="24"/>
          <w:szCs w:val="24"/>
        </w:rPr>
      </w:pPr>
      <w:r w:rsidDel="00000000" w:rsidR="00000000" w:rsidRPr="00000000">
        <w:rPr>
          <w:sz w:val="24"/>
          <w:szCs w:val="24"/>
          <w:rtl w:val="0"/>
        </w:rPr>
        <w:t xml:space="preserve">Other authors have sought other modelling methods. Azad et al. (2024) argued that decision tree-based ensembles would always give a better result when compared to the regression and proximity-based models without the humongous effort of feature selection. In their work, however, they did not include the crucial step of verifying that the models are not simply overfitting to the majority class [7]. The (albeit less central) future predictions of type and chest pain inclination have also been identified by Azimi Lemir et al. (2025)  as crucial predictors, but there is no discussion of how the model made decisions. Therefore, although the predictive accuracy of ensemble classifiers has been well established, a persistent gap in the literature is that high performance is often achieved at the cost of interpretability, and many studies fail to follow a structured and reproducible approach to this problem in order to address issues of data quality before modelling [8].</w:t>
      </w:r>
    </w:p>
    <w:p w:rsidR="00000000" w:rsidDel="00000000" w:rsidP="00000000" w:rsidRDefault="00000000" w:rsidRPr="00000000" w14:paraId="00000015">
      <w:pPr>
        <w:spacing w:line="360" w:lineRule="auto"/>
        <w:jc w:val="both"/>
        <w:rPr>
          <w:sz w:val="24"/>
          <w:szCs w:val="24"/>
        </w:rPr>
      </w:pPr>
      <w:r w:rsidDel="00000000" w:rsidR="00000000" w:rsidRPr="00000000">
        <w:rPr>
          <w:rtl w:val="0"/>
        </w:rPr>
      </w:r>
    </w:p>
    <w:p w:rsidR="00000000" w:rsidDel="00000000" w:rsidP="00000000" w:rsidRDefault="00000000" w:rsidRPr="00000000" w14:paraId="00000016">
      <w:pPr>
        <w:spacing w:line="360" w:lineRule="auto"/>
        <w:jc w:val="both"/>
        <w:rPr>
          <w:sz w:val="28"/>
          <w:szCs w:val="28"/>
        </w:rPr>
      </w:pPr>
      <w:r w:rsidDel="00000000" w:rsidR="00000000" w:rsidRPr="00000000">
        <w:rPr>
          <w:b w:val="1"/>
          <w:bCs w:val="1"/>
          <w:sz w:val="28"/>
          <w:szCs w:val="28"/>
          <w:rtl w:val="0"/>
        </w:rPr>
        <w:t xml:space="preserve">B. Class Imbalance and Over-sampling Techniques</w:t>
      </w:r>
      <w:r w:rsidDel="00000000" w:rsidR="00000000" w:rsidRPr="00000000">
        <w:rPr>
          <w:rtl w:val="0"/>
        </w:rPr>
      </w:r>
    </w:p>
    <w:p w:rsidR="00000000" w:rsidDel="00000000" w:rsidP="00000000" w:rsidRDefault="00000000" w:rsidRPr="00000000" w14:paraId="00000017">
      <w:pPr>
        <w:spacing w:line="360" w:lineRule="auto"/>
        <w:jc w:val="both"/>
        <w:rPr>
          <w:sz w:val="24"/>
          <w:szCs w:val="24"/>
        </w:rPr>
      </w:pPr>
      <w:r w:rsidDel="00000000" w:rsidR="00000000" w:rsidRPr="00000000">
        <w:rPr>
          <w:sz w:val="24"/>
          <w:szCs w:val="24"/>
          <w:rtl w:val="0"/>
        </w:rPr>
        <w:t xml:space="preserve">The related issue with the medical classification activity is the biased representation of classes. The UCI Cleveland dataset has about a 46 per cent disease-positive class, which is not highly imbalanced, but still biases the classifier toward the majority and inflates accuracy. The Synthetic Minority Oversampling Technique (SMOTE), mentioned by Fernandez et al. (2018), is a standard solution. Releasing synthetically created examples of the minority group in reference to nearest neighbours, SMOTE prompts classifiers to learn a more generalizable decision boundary. It is effective in healthcare-related applications across various domains [9]. Netayawijit et al. (2025) merged SMOTE with a gradient boosting model to predict diabetes and have reported significant improvements in recall and AUC, without compromising overall accuracy [10].</w:t>
      </w:r>
    </w:p>
    <w:p w:rsidR="00000000" w:rsidDel="00000000" w:rsidP="00000000" w:rsidRDefault="00000000" w:rsidRPr="00000000" w14:paraId="00000018">
      <w:pPr>
        <w:spacing w:line="360" w:lineRule="auto"/>
        <w:jc w:val="both"/>
        <w:rPr>
          <w:sz w:val="24"/>
          <w:szCs w:val="24"/>
        </w:rPr>
      </w:pPr>
      <w:r w:rsidDel="00000000" w:rsidR="00000000" w:rsidRPr="00000000">
        <w:rPr>
          <w:sz w:val="24"/>
          <w:szCs w:val="24"/>
          <w:rtl w:val="0"/>
        </w:rPr>
        <w:t xml:space="preserve">Yet, with inappropriate use of SMOTE, it is possible to create data leakage in case oversampling is conducted before train-test splitting; thus, conveying misleading performance estimates. Several CVD prediction studies neglect to state how SMOTE was used, or do so on the entire dataset, which nullifies the validity of their reported measures. In addition to this, little attention was paid to the study's effect of SMOTE on the further interpretation of model decisions until quite recently. Yadav (2020) utilised SMOTE to redistribute their samples and used SHAP later, but they did not analyse whether synthetically generated samples altered the ranking of feature importance. To address these issues, the current work integrates SMOTE into a cross-validation pipeline, making sure that the oversampling is scaled back to training folds only, and a critical comparison of the SHAP output prior to and following balancing is performed to ensure the stability of the clinical insights [11].</w:t>
      </w:r>
    </w:p>
    <w:p w:rsidR="00000000" w:rsidDel="00000000" w:rsidP="00000000" w:rsidRDefault="00000000" w:rsidRPr="00000000" w14:paraId="00000019">
      <w:pPr>
        <w:spacing w:line="360" w:lineRule="auto"/>
        <w:jc w:val="both"/>
        <w:rPr>
          <w:sz w:val="28"/>
          <w:szCs w:val="28"/>
        </w:rPr>
      </w:pPr>
      <w:r w:rsidDel="00000000" w:rsidR="00000000" w:rsidRPr="00000000">
        <w:rPr>
          <w:b w:val="1"/>
          <w:bCs w:val="1"/>
          <w:sz w:val="28"/>
          <w:szCs w:val="28"/>
          <w:rtl w:val="0"/>
        </w:rPr>
        <w:t xml:space="preserve">C. Explainable AI in Medicine</w:t>
      </w:r>
      <w:r w:rsidDel="00000000" w:rsidR="00000000" w:rsidRPr="00000000">
        <w:rPr>
          <w:rtl w:val="0"/>
        </w:rPr>
      </w:r>
    </w:p>
    <w:p w:rsidR="00000000" w:rsidDel="00000000" w:rsidP="00000000" w:rsidRDefault="00000000" w:rsidRPr="00000000" w14:paraId="0000001A">
      <w:pPr>
        <w:spacing w:line="360" w:lineRule="auto"/>
        <w:jc w:val="both"/>
        <w:rPr>
          <w:sz w:val="24"/>
          <w:szCs w:val="24"/>
        </w:rPr>
      </w:pPr>
      <w:r w:rsidDel="00000000" w:rsidR="00000000" w:rsidRPr="00000000">
        <w:rPr>
          <w:sz w:val="24"/>
          <w:szCs w:val="24"/>
          <w:rtl w:val="0"/>
        </w:rPr>
        <w:t xml:space="preserve">The natural opaque nature of complex ML models, especially the suggestions of teams and deep nets, has motivated the creation of post-hoc explanation methods. A single framework, proposed by Kim (2025) as SHAP (Shapley Additive explanations), is a framework that attributes a prediction to the contribution of each feature, based on cooperative game theory. SHAP has been used in the medical field to confirm that the models are using variables that are clinically relevant to them and not false correlations of the variables. As an illustration, the above studies utilised the SHAP summary plot in order to ensure that the features such as chest pain type, cholesterol, and exercise-induced angina were driving the predictions, thus resulting in high levels of clinician trust [12].</w:t>
      </w:r>
    </w:p>
    <w:p w:rsidR="00000000" w:rsidDel="00000000" w:rsidP="00000000" w:rsidRDefault="00000000" w:rsidRPr="00000000" w14:paraId="0000001B">
      <w:pPr>
        <w:spacing w:line="360" w:lineRule="auto"/>
        <w:jc w:val="both"/>
        <w:rPr>
          <w:sz w:val="24"/>
          <w:szCs w:val="24"/>
        </w:rPr>
      </w:pPr>
      <w:r w:rsidDel="00000000" w:rsidR="00000000" w:rsidRPr="00000000">
        <w:rPr>
          <w:sz w:val="24"/>
          <w:szCs w:val="24"/>
          <w:rtl w:val="0"/>
        </w:rPr>
        <w:t xml:space="preserve">Introduced by Ribeiro et al (2016), LIME (Local Interpretable Model-agnostic Explanations) provides a complementary view. Where SHAP is very effective at feature importance on a global scale, LIME makes local approximations by perturbing input instances and fits to a simple interpretable model around the prediction. This combination of global and local approach is especially highly powerful in respect to clinical decision support, since it enables a physician to comprehend not just the general pattern of behaviour in a model, but also the specific aspects of why an individual patient should act that way. However, little research has described the use of both techniques together in a single CVD prediction system coupled with analyzing class imbalance and preprocessing rigour [13]. Major weakness with the current study by Repetto (2025) on health care is the lack of robustness testing. Only an explanation that is stable when there are small, realistic perturbations of the input data is of value. A model that succeeds adversarial testing, i.e. the model consistently performs well and performs its feature attributions correctly when noise is added, will be more trustworthy. To the best of our understanding, none of the existing CVD prediction studies has combined adversarial robustness checks with both SHAP and LIME [14].</w:t>
      </w:r>
    </w:p>
    <w:p w:rsidR="00000000" w:rsidDel="00000000" w:rsidP="00000000" w:rsidRDefault="00000000" w:rsidRPr="00000000" w14:paraId="0000001C">
      <w:pPr>
        <w:spacing w:line="360" w:lineRule="auto"/>
        <w:jc w:val="both"/>
        <w:rPr>
          <w:sz w:val="24"/>
          <w:szCs w:val="24"/>
        </w:rPr>
      </w:pPr>
      <w:r w:rsidDel="00000000" w:rsidR="00000000" w:rsidRPr="00000000">
        <w:rPr>
          <w:rtl w:val="0"/>
        </w:rPr>
      </w:r>
    </w:p>
    <w:p w:rsidR="00000000" w:rsidDel="00000000" w:rsidP="00000000" w:rsidRDefault="00000000" w:rsidRPr="00000000" w14:paraId="0000001D">
      <w:pPr>
        <w:spacing w:line="360" w:lineRule="auto"/>
        <w:jc w:val="both"/>
        <w:rPr>
          <w:sz w:val="28"/>
          <w:szCs w:val="28"/>
        </w:rPr>
      </w:pPr>
      <w:r w:rsidDel="00000000" w:rsidR="00000000" w:rsidRPr="00000000">
        <w:rPr>
          <w:b w:val="1"/>
          <w:bCs w:val="1"/>
          <w:sz w:val="28"/>
          <w:szCs w:val="28"/>
          <w:rtl w:val="0"/>
        </w:rPr>
        <w:t xml:space="preserve">D. Synthesis and Research Gap</w:t>
      </w:r>
      <w:r w:rsidDel="00000000" w:rsidR="00000000" w:rsidRPr="00000000">
        <w:rPr>
          <w:rtl w:val="0"/>
        </w:rPr>
      </w:r>
    </w:p>
    <w:p w:rsidR="00000000" w:rsidDel="00000000" w:rsidP="00000000" w:rsidRDefault="00000000" w:rsidRPr="00000000" w14:paraId="0000001E">
      <w:pPr>
        <w:spacing w:line="360" w:lineRule="auto"/>
        <w:jc w:val="both"/>
        <w:rPr>
          <w:sz w:val="24"/>
          <w:szCs w:val="24"/>
        </w:rPr>
      </w:pPr>
      <w:r w:rsidDel="00000000" w:rsidR="00000000" w:rsidRPr="00000000">
        <w:rPr>
          <w:sz w:val="24"/>
          <w:szCs w:val="24"/>
          <w:rtl w:val="0"/>
        </w:rPr>
        <w:t xml:space="preserve">The literature demonstrates that ensemble classifiers can be used to achieve high accuracy in the prediction of heart diseases, SMOTE can deal with the issue of class imbalance and SHAP, and LIME can be used to provide interpretability. Nevertheless, this development is seldom combined into one repeatable pipeline. Most studies fail to apply thorough preprocessing, do not apply SMOTE properly, leading to data leakage, or use limited measures of evaluation. Notably, a combination of global and local explainability techniques with adversarial robustness tests in the context of a structured approach has never been done before. This study fills these gaps with the adoption of CRISP-DM, constructing a modular pipeline that preprocesses the UCI Cleveland data, uses SMOTE exclusively as a part of a five-fold cross-validation, and compares five classifiers with various metrics, exposing the optimal model to two SHAP and LIME explanations and introducing the workings of adversarial evaluation. This combined strategy provides predictive performance as well as clinically meaningful, transparent and trustworthy insights regarding early heart disease [15].</w:t>
      </w:r>
    </w:p>
    <w:p w:rsidR="00000000" w:rsidDel="00000000" w:rsidP="00000000" w:rsidRDefault="00000000" w:rsidRPr="00000000" w14:paraId="0000001F">
      <w:pPr>
        <w:spacing w:line="360" w:lineRule="auto"/>
        <w:jc w:val="both"/>
        <w:rPr>
          <w:sz w:val="24"/>
          <w:szCs w:val="24"/>
        </w:rPr>
      </w:pPr>
      <w:r w:rsidDel="00000000" w:rsidR="00000000" w:rsidRPr="00000000">
        <w:rPr>
          <w:rtl w:val="0"/>
        </w:rPr>
      </w:r>
    </w:p>
    <w:p w:rsidR="00000000" w:rsidDel="00000000" w:rsidP="00000000" w:rsidRDefault="00000000" w:rsidRPr="00000000" w14:paraId="0000002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Methodology</w:t>
      </w:r>
    </w:p>
    <w:p w:rsidR="00000000" w:rsidDel="00000000" w:rsidP="00000000" w:rsidRDefault="00000000" w:rsidRPr="00000000" w14:paraId="00000021">
      <w:pPr>
        <w:spacing w:line="360" w:lineRule="auto"/>
        <w:jc w:val="both"/>
        <w:rPr>
          <w:sz w:val="24"/>
          <w:szCs w:val="24"/>
        </w:rPr>
      </w:pPr>
      <w:r w:rsidDel="00000000" w:rsidR="00000000" w:rsidRPr="00000000">
        <w:rPr>
          <w:sz w:val="24"/>
          <w:szCs w:val="24"/>
          <w:rtl w:val="0"/>
        </w:rPr>
        <w:t xml:space="preserve">This section entails the overall research methodology that the representatives adopted to produce an explainable machine learning model to predict heart disease early. The research is built on the Cross Industry Standard Process for Data Mining (CRISP DM), a systematic approach that ensures reproducibility, transparency and rigour at all levels between business understanding and deployment [16]. </w:t>
      </w:r>
    </w:p>
    <w:p w:rsidR="00000000" w:rsidDel="00000000" w:rsidP="00000000" w:rsidRDefault="00000000" w:rsidRPr="00000000" w14:paraId="00000022">
      <w:pPr>
        <w:keepNext w:val="1"/>
        <w:spacing w:line="360" w:lineRule="auto"/>
        <w:jc w:val="both"/>
        <w:rPr>
          <w:sz w:val="24"/>
          <w:szCs w:val="24"/>
        </w:rPr>
      </w:pPr>
      <w:r w:rsidDel="00000000" w:rsidR="00000000" w:rsidRPr="00000000">
        <w:rPr>
          <w:sz w:val="24"/>
          <w:szCs w:val="24"/>
        </w:rPr>
        <w:drawing>
          <wp:inline distB="0" distT="0" distL="114300" distR="114300">
            <wp:extent cx="3204210" cy="1836420"/>
            <wp:effectExtent b="0" l="0" r="0" t="0"/>
            <wp:docPr id="1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3204210" cy="183642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line="360" w:lineRule="auto"/>
        <w:jc w:val="both"/>
        <w:rPr>
          <w:b w:val="1"/>
          <w:bCs w:val="1"/>
          <w:sz w:val="24"/>
          <w:szCs w:val="24"/>
        </w:rPr>
      </w:pPr>
      <w:r w:rsidDel="00000000" w:rsidR="00000000" w:rsidRPr="00000000">
        <w:rPr>
          <w:b w:val="1"/>
          <w:bCs w:val="1"/>
          <w:sz w:val="24"/>
          <w:szCs w:val="24"/>
          <w:rtl w:val="0"/>
        </w:rPr>
        <w:t xml:space="preserve">Figure 1: Methodology</w:t>
      </w:r>
    </w:p>
    <w:p w:rsidR="00000000" w:rsidDel="00000000" w:rsidP="00000000" w:rsidRDefault="00000000" w:rsidRPr="00000000" w14:paraId="00000024">
      <w:pPr>
        <w:spacing w:line="360" w:lineRule="auto"/>
        <w:jc w:val="both"/>
        <w:rPr>
          <w:sz w:val="28"/>
          <w:szCs w:val="28"/>
        </w:rPr>
      </w:pPr>
      <w:r w:rsidDel="00000000" w:rsidR="00000000" w:rsidRPr="00000000">
        <w:rPr>
          <w:b w:val="1"/>
          <w:bCs w:val="1"/>
          <w:sz w:val="28"/>
          <w:szCs w:val="28"/>
          <w:rtl w:val="0"/>
        </w:rPr>
        <w:t xml:space="preserve">A. Research Design and Project Management</w:t>
      </w:r>
      <w:r w:rsidDel="00000000" w:rsidR="00000000" w:rsidRPr="00000000">
        <w:rPr>
          <w:rtl w:val="0"/>
        </w:rPr>
      </w:r>
    </w:p>
    <w:p w:rsidR="00000000" w:rsidDel="00000000" w:rsidP="00000000" w:rsidRDefault="00000000" w:rsidRPr="00000000" w14:paraId="00000025">
      <w:pPr>
        <w:spacing w:line="360" w:lineRule="auto"/>
        <w:jc w:val="both"/>
        <w:rPr>
          <w:sz w:val="24"/>
          <w:szCs w:val="24"/>
        </w:rPr>
      </w:pPr>
      <w:r w:rsidDel="00000000" w:rsidR="00000000" w:rsidRPr="00000000">
        <w:rPr>
          <w:sz w:val="24"/>
          <w:szCs w:val="24"/>
          <w:rtl w:val="0"/>
        </w:rPr>
        <w:t xml:space="preserve">The research design adopted was a quantitative, experimental and comparative study. Five morphologically regulated classification algorithms, namely, Logistic Regression, Random Forest, XGBoost, Support Vector Machine (SVM), and K Nearest Neighbours (KNN), were benchmarked using the same processing and evaluation procedures [17]. Five-fold stratified cross-validation using a fixed random seed (42) allowed us to obtain well, unbiased performance estimates. The lifecycle of the project was similar to the six phases of CRISP DM: (1) business understanding defining the clinical need in heart disease screening, interpretable and equitable screening (15); (2) data understanding initial exploration and visualization; (3) data preparation cleaning, imputation, outlier capping, encoding and scaling; (4) modelling training classifier and SMOTE balancing within cross validation; (5) evaluation multi metric assessment, ROC analysis and explainability; and (6) deployment considerations ethical safeguards and documentation. Proactive risk management is detailed in subsection H [18].</w:t>
      </w:r>
    </w:p>
    <w:p w:rsidR="00000000" w:rsidDel="00000000" w:rsidP="00000000" w:rsidRDefault="00000000" w:rsidRPr="00000000" w14:paraId="00000026">
      <w:pPr>
        <w:spacing w:line="360" w:lineRule="auto"/>
        <w:jc w:val="both"/>
        <w:rPr>
          <w:sz w:val="28"/>
          <w:szCs w:val="28"/>
        </w:rPr>
      </w:pPr>
      <w:r w:rsidDel="00000000" w:rsidR="00000000" w:rsidRPr="00000000">
        <w:rPr>
          <w:b w:val="1"/>
          <w:bCs w:val="1"/>
          <w:sz w:val="28"/>
          <w:szCs w:val="28"/>
          <w:rtl w:val="0"/>
        </w:rPr>
        <w:t xml:space="preserve">B. Data Source and Acquisition</w:t>
      </w:r>
      <w:r w:rsidDel="00000000" w:rsidR="00000000" w:rsidRPr="00000000">
        <w:rPr>
          <w:rtl w:val="0"/>
        </w:rPr>
      </w:r>
    </w:p>
    <w:p w:rsidR="00000000" w:rsidDel="00000000" w:rsidP="00000000" w:rsidRDefault="00000000" w:rsidRPr="00000000" w14:paraId="00000027">
      <w:pPr>
        <w:spacing w:line="360" w:lineRule="auto"/>
        <w:jc w:val="both"/>
        <w:rPr>
          <w:sz w:val="24"/>
          <w:szCs w:val="24"/>
        </w:rPr>
      </w:pPr>
      <w:r>
        <w:t>The dataset was sourced from Kaggle (originally the UCI Machine Learning Repository) and comprises 920 patient records drawn from four clinical centres: Cleveland (n=304), Hungary (n=293), VA Long Beach (n=200), and Switzerland (n=123). The dataset contains 14 clinical attributes: age, sex, chest pain type (cp), resting blood pressure (trestbps), serum cholesterol (chol), fasting blood sugar (fbs), resting ECG results (restecg), maximum heart rate achieved (thalch), exercise-induced angina (exang), ST depression (oldpeak), ST slope (slope), number of major vessels coloured by fluoroscopy (ca), thalassemia type (thal), and the diagnostic label (num). The target variable was binarised: 0 indicates no disease (n=411, 44.7%) and 1 indicates disease present (n=509, 55.3%). Descriptive statistics show patient age ranging from 28 to 77 years (mean=53.5, SD=9.4), resting blood pressure ranging from 0 to 200 mmHg (mean=132.1), and serum cholesterol ranging from 0 to 603 mg/dl (mean=199.1).</w:t>
      </w:r>
    </w:p>
    <w:p w:rsidR="00000000" w:rsidDel="00000000" w:rsidP="00000000" w:rsidRDefault="00000000" w:rsidRPr="00000000" w14:paraId="00000028">
      <w:pPr>
        <w:keepNext w:val="1"/>
        <w:spacing w:line="360" w:lineRule="auto"/>
        <w:jc w:val="both"/>
        <w:rPr>
          <w:sz w:val="24"/>
          <w:szCs w:val="24"/>
        </w:rPr>
      </w:pPr>
      <w:r w:rsidDel="00000000" w:rsidR="00000000" w:rsidRPr="00000000">
        <w:rPr>
          <w:sz w:val="24"/>
          <w:szCs w:val="24"/>
        </w:rPr>
        <w:drawing>
          <wp:inline distB="0" distT="0" distL="114300" distR="114300">
            <wp:extent cx="3195955" cy="186626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195955" cy="186626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360" w:lineRule="auto"/>
        <w:jc w:val="both"/>
        <w:rPr>
          <w:b w:val="1"/>
          <w:bCs w:val="1"/>
          <w:sz w:val="24"/>
          <w:szCs w:val="24"/>
        </w:rPr>
      </w:pPr>
      <w:r w:rsidDel="00000000" w:rsidR="00000000" w:rsidRPr="00000000">
        <w:rPr>
          <w:b w:val="1"/>
          <w:bCs w:val="1"/>
          <w:sz w:val="24"/>
          <w:szCs w:val="24"/>
          <w:rtl w:val="0"/>
        </w:rPr>
        <w:t xml:space="preserve">Figure 2: UCI Heart Disease Data</w:t>
      </w:r>
    </w:p>
    <w:p w:rsidR="00000000" w:rsidDel="00000000" w:rsidP="00000000" w:rsidRDefault="00000000" w:rsidRPr="00000000" w14:paraId="0000002A">
      <w:pPr>
        <w:spacing w:line="360" w:lineRule="auto"/>
        <w:jc w:val="both"/>
        <w:rPr>
          <w:sz w:val="24"/>
          <w:szCs w:val="24"/>
        </w:rPr>
      </w:pPr>
      <w:r w:rsidDel="00000000" w:rsidR="00000000" w:rsidRPr="00000000">
        <w:rPr>
          <w:rtl w:val="0"/>
        </w:rPr>
      </w:r>
    </w:p>
    <w:p w:rsidR="00000000" w:rsidDel="00000000" w:rsidP="00000000" w:rsidRDefault="00000000" w:rsidRPr="00000000" w14:paraId="0000002B">
      <w:pPr>
        <w:spacing w:line="360" w:lineRule="auto"/>
        <w:jc w:val="both"/>
        <w:rPr>
          <w:sz w:val="28"/>
          <w:szCs w:val="28"/>
        </w:rPr>
      </w:pPr>
      <w:r w:rsidDel="00000000" w:rsidR="00000000" w:rsidRPr="00000000">
        <w:rPr>
          <w:b w:val="1"/>
          <w:bCs w:val="1"/>
          <w:sz w:val="28"/>
          <w:szCs w:val="28"/>
          <w:rtl w:val="0"/>
        </w:rPr>
        <w:t xml:space="preserve">C. Data Preprocessing and Cleaning</w:t>
      </w:r>
      <w:r w:rsidDel="00000000" w:rsidR="00000000" w:rsidRPr="00000000">
        <w:rPr>
          <w:rtl w:val="0"/>
        </w:rPr>
      </w:r>
    </w:p>
    <w:p w:rsidR="00000000" w:rsidDel="00000000" w:rsidP="00000000" w:rsidRDefault="00000000" w:rsidRPr="00000000" w14:paraId="0000002C">
      <w:pPr>
        <w:spacing w:line="360" w:lineRule="auto"/>
        <w:jc w:val="both"/>
        <w:rPr>
          <w:sz w:val="24"/>
          <w:szCs w:val="24"/>
        </w:rPr>
      </w:pPr>
      <w:r>
        <w:t>Initial inspection revealed missing values coded as NaN across several features. The extent of missingness varied considerably: trestbps had 59 missing values (6.4%), chol had 30 (3.3%), fbs had 90 (10.9%), restecg had 2 (0.2%), thalch had 55 (6.0%), exang had 55 (6.0%), oldpeak had 62 (7.2%), slope had 309 (33.6%), ca had 611 (66.4%), and thal had 486 (52.8%). Categorical features (slope, thal, fbs, restecg, exang) were imputed using mode substitution; continuous features (trestbps, chol, thalch, oldpeak, ca) were imputed using median substitution. Notably, oldpeak contained physically impossible negative values (minimum -2.6); these were clipped to zero prior to IQR capping, since ST depression cannot be negative by clinical definition. Outlier detection was then conducted through box plot analysis of five continuous variables — age, trestbps, chol, thalch, and oldpeak — with extreme values capped at 1.5 times the interquartile range (IQR). The feature ca was excluded from IQR capping as it is a discrete integer count (0–3) where capping would distort its clinical meaning. Before and after box plots confirmed successful removal of extreme points without altering the central tendency of each distribution.</w:t>
      </w:r>
    </w:p>
    <w:p w:rsidR="00000000" w:rsidDel="00000000" w:rsidP="00000000" w:rsidRDefault="00000000" w:rsidRPr="00000000" w14:paraId="0000002D">
      <w:pPr>
        <w:spacing w:line="360" w:lineRule="auto"/>
        <w:jc w:val="both"/>
        <w:rPr>
          <w:sz w:val="24"/>
          <w:szCs w:val="24"/>
        </w:rPr>
      </w:pPr>
      <w:r w:rsidDel="00000000" w:rsidR="00000000" w:rsidRPr="00000000">
        <w:rPr>
          <w:rtl w:val="0"/>
        </w:rPr>
      </w:r>
    </w:p>
    <w:p w:rsidR="00000000" w:rsidDel="00000000" w:rsidP="00000000" w:rsidRDefault="00000000" w:rsidRPr="00000000" w14:paraId="0000002E">
      <w:pPr>
        <w:keepNext w:val="1"/>
        <w:spacing w:line="360" w:lineRule="auto"/>
        <w:jc w:val="both"/>
        <w:rPr>
          <w:sz w:val="24"/>
          <w:szCs w:val="24"/>
        </w:rPr>
      </w:pPr>
      <w:r w:rsidDel="00000000" w:rsidR="00000000" w:rsidRPr="00000000">
        <w:rPr>
          <w:sz w:val="24"/>
          <w:szCs w:val="24"/>
        </w:rPr>
        <w:drawing>
          <wp:inline distB="0" distT="0" distL="114300" distR="114300">
            <wp:extent cx="2904490" cy="246126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904490" cy="246126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line="360" w:lineRule="auto"/>
        <w:jc w:val="both"/>
        <w:rPr>
          <w:b w:val="1"/>
          <w:bCs w:val="1"/>
          <w:sz w:val="24"/>
          <w:szCs w:val="24"/>
        </w:rPr>
      </w:pPr>
      <w:r w:rsidDel="00000000" w:rsidR="00000000" w:rsidRPr="00000000">
        <w:rPr>
          <w:b w:val="1"/>
          <w:bCs w:val="1"/>
          <w:sz w:val="24"/>
          <w:szCs w:val="24"/>
          <w:rtl w:val="0"/>
        </w:rPr>
        <w:t xml:space="preserve">Figure 3: Heart Disease Distribution</w:t>
      </w:r>
    </w:p>
    <w:p w:rsidR="00000000" w:rsidDel="00000000" w:rsidP="00000000" w:rsidRDefault="00000000" w:rsidRPr="00000000" w14:paraId="00000030">
      <w:pPr>
        <w:keepNext w:val="1"/>
        <w:spacing w:line="360" w:lineRule="auto"/>
        <w:jc w:val="both"/>
        <w:rPr>
          <w:sz w:val="24"/>
          <w:szCs w:val="24"/>
        </w:rPr>
      </w:pPr>
      <w:r w:rsidDel="00000000" w:rsidR="00000000" w:rsidRPr="00000000">
        <w:rPr>
          <w:sz w:val="24"/>
          <w:szCs w:val="24"/>
        </w:rPr>
        <w:drawing>
          <wp:inline distB="0" distT="0" distL="114300" distR="114300">
            <wp:extent cx="3164840" cy="1825625"/>
            <wp:effectExtent b="0" l="0" r="0" t="0"/>
            <wp:docPr id="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164840" cy="182562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line="360" w:lineRule="auto"/>
        <w:jc w:val="both"/>
        <w:rPr>
          <w:b w:val="1"/>
          <w:bCs w:val="1"/>
          <w:sz w:val="24"/>
          <w:szCs w:val="24"/>
        </w:rPr>
      </w:pPr>
      <w:r w:rsidDel="00000000" w:rsidR="00000000" w:rsidRPr="00000000">
        <w:rPr>
          <w:b w:val="1"/>
          <w:bCs w:val="1"/>
          <w:sz w:val="24"/>
          <w:szCs w:val="24"/>
          <w:rtl w:val="0"/>
        </w:rPr>
        <w:t xml:space="preserve">Figure 4: Box plot of Numeric Feature</w:t>
      </w:r>
    </w:p>
    <w:p w:rsidR="00000000" w:rsidDel="00000000" w:rsidP="00000000" w:rsidRDefault="00000000" w:rsidRPr="00000000" w14:paraId="00000032">
      <w:pPr>
        <w:spacing w:line="360" w:lineRule="auto"/>
        <w:jc w:val="both"/>
        <w:rPr>
          <w:sz w:val="24"/>
          <w:szCs w:val="24"/>
        </w:rPr>
      </w:pPr>
      <w:r w:rsidDel="00000000" w:rsidR="00000000" w:rsidRPr="00000000">
        <w:rPr>
          <w:sz w:val="24"/>
          <w:szCs w:val="24"/>
          <w:rtl w:val="0"/>
        </w:rPr>
        <w:t xml:space="preserve">Outlier detection was conducted through box plot analysis of continuous variables: age, trestbps, chol, thalch, and oldpeak had extreme values, which may distort the model training. To help deal with this, outliers were limited to 1.5 times the interquartile range (IQR). Beyond Q1 -1.5 -IQR or Q3 + 1.5 -IQR, values were clipped to the corresponding value. To retain what was a discrete clinical aspect of capping, the feature ca (an integer count) was not capped. Prior to and following the box plots ensured the successful eradication of the extreme points without altering the central tendency and overall shape of the distribution.</w:t>
      </w:r>
    </w:p>
    <w:p w:rsidR="00000000" w:rsidDel="00000000" w:rsidP="00000000" w:rsidRDefault="00000000" w:rsidRPr="00000000" w14:paraId="00000033">
      <w:pPr>
        <w:spacing w:line="360" w:lineRule="auto"/>
        <w:jc w:val="both"/>
        <w:rPr>
          <w:sz w:val="28"/>
          <w:szCs w:val="28"/>
        </w:rPr>
      </w:pPr>
      <w:r w:rsidDel="00000000" w:rsidR="00000000" w:rsidRPr="00000000">
        <w:rPr>
          <w:b w:val="1"/>
          <w:bCs w:val="1"/>
          <w:sz w:val="28"/>
          <w:szCs w:val="28"/>
          <w:rtl w:val="0"/>
        </w:rPr>
        <w:t xml:space="preserve">D. Feature Engineering and Pipeline Construction</w:t>
      </w:r>
      <w:r w:rsidDel="00000000" w:rsidR="00000000" w:rsidRPr="00000000">
        <w:rPr>
          <w:rtl w:val="0"/>
        </w:rPr>
      </w:r>
    </w:p>
    <w:p w:rsidR="00000000" w:rsidDel="00000000" w:rsidP="00000000" w:rsidRDefault="00000000" w:rsidRPr="00000000" w14:paraId="00000034">
      <w:pPr>
        <w:spacing w:line="360" w:lineRule="auto"/>
        <w:jc w:val="both"/>
        <w:rPr>
          <w:sz w:val="24"/>
          <w:szCs w:val="24"/>
        </w:rPr>
      </w:pPr>
      <w:r w:rsidDel="00000000" w:rsidR="00000000" w:rsidRPr="00000000">
        <w:rPr>
          <w:sz w:val="24"/>
          <w:szCs w:val="24"/>
          <w:rtl w:val="0"/>
        </w:rPr>
        <w:t xml:space="preserve">All transformations were done in situ within a scikit-learn ColumnTransformer and Pipeline objects, to prevent data leaking. Numeric features (age, trestbps, chol, thalch, oldpeak, ca) were normalised using z-score normalisation (zero mean, unit variance). One-hot encoding was used to encode categorical features to include 25 dimensions (6 numeric and 19 binary indicators). The pipelines also contained a fallback imputation step to deal with any remaining missing values, but there were none left after the previous cleaning. This modular design enabled the same preprocessing to be seamlessly applied to both training and unseen test data.</w:t>
      </w:r>
    </w:p>
    <w:p w:rsidR="00000000" w:rsidDel="00000000" w:rsidP="00000000" w:rsidRDefault="00000000" w:rsidRPr="00000000" w14:paraId="00000035">
      <w:pPr>
        <w:keepNext w:val="1"/>
        <w:spacing w:line="360" w:lineRule="auto"/>
        <w:jc w:val="both"/>
        <w:rPr>
          <w:sz w:val="24"/>
          <w:szCs w:val="24"/>
        </w:rPr>
      </w:pPr>
      <w:r w:rsidDel="00000000" w:rsidR="00000000" w:rsidRPr="00000000">
        <w:rPr>
          <w:sz w:val="24"/>
          <w:szCs w:val="24"/>
        </w:rPr>
        <w:drawing>
          <wp:inline distB="0" distT="0" distL="114300" distR="114300">
            <wp:extent cx="3198495" cy="2319655"/>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198495" cy="231965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line="360" w:lineRule="auto"/>
        <w:jc w:val="both"/>
        <w:rPr>
          <w:b w:val="1"/>
          <w:bCs w:val="1"/>
          <w:sz w:val="24"/>
          <w:szCs w:val="24"/>
        </w:rPr>
      </w:pPr>
      <w:r w:rsidDel="00000000" w:rsidR="00000000" w:rsidRPr="00000000">
        <w:rPr>
          <w:b w:val="1"/>
          <w:bCs w:val="1"/>
          <w:sz w:val="24"/>
          <w:szCs w:val="24"/>
          <w:rtl w:val="0"/>
        </w:rPr>
        <w:t xml:space="preserve">Figure 5: Missing Values Before Imputation</w:t>
      </w:r>
    </w:p>
    <w:p w:rsidR="00000000" w:rsidDel="00000000" w:rsidP="00000000" w:rsidRDefault="00000000" w:rsidRPr="00000000" w14:paraId="00000037">
      <w:pPr>
        <w:keepNext w:val="1"/>
        <w:spacing w:line="360" w:lineRule="auto"/>
        <w:jc w:val="both"/>
        <w:rPr>
          <w:sz w:val="24"/>
          <w:szCs w:val="24"/>
        </w:rPr>
      </w:pPr>
      <w:r w:rsidDel="00000000" w:rsidR="00000000" w:rsidRPr="00000000">
        <w:rPr>
          <w:sz w:val="24"/>
          <w:szCs w:val="24"/>
        </w:rPr>
        <w:drawing>
          <wp:inline distB="0" distT="0" distL="114300" distR="114300">
            <wp:extent cx="3202305" cy="2219960"/>
            <wp:effectExtent b="0" l="0" r="0" t="0"/>
            <wp:docPr id="12"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3202305" cy="221996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line="360" w:lineRule="auto"/>
        <w:jc w:val="both"/>
        <w:rPr>
          <w:b w:val="1"/>
          <w:bCs w:val="1"/>
          <w:sz w:val="24"/>
          <w:szCs w:val="24"/>
        </w:rPr>
      </w:pPr>
      <w:r w:rsidDel="00000000" w:rsidR="00000000" w:rsidRPr="00000000">
        <w:rPr>
          <w:b w:val="1"/>
          <w:bCs w:val="1"/>
          <w:sz w:val="24"/>
          <w:szCs w:val="24"/>
          <w:rtl w:val="0"/>
        </w:rPr>
        <w:t xml:space="preserve">Figure 6: Missing Values After Imputation</w:t>
      </w:r>
    </w:p>
    <w:p w:rsidR="00000000" w:rsidDel="00000000" w:rsidP="00000000" w:rsidRDefault="00000000" w:rsidRPr="00000000" w14:paraId="00000039">
      <w:pPr>
        <w:spacing w:line="360" w:lineRule="auto"/>
        <w:jc w:val="both"/>
        <w:rPr>
          <w:sz w:val="24"/>
          <w:szCs w:val="24"/>
        </w:rPr>
      </w:pPr>
      <w:r w:rsidDel="00000000" w:rsidR="00000000" w:rsidRPr="00000000">
        <w:rPr>
          <w:rtl w:val="0"/>
        </w:rPr>
      </w:r>
    </w:p>
    <w:p w:rsidR="00000000" w:rsidDel="00000000" w:rsidP="00000000" w:rsidRDefault="00000000" w:rsidRPr="00000000" w14:paraId="0000003A">
      <w:pPr>
        <w:spacing w:line="360" w:lineRule="auto"/>
        <w:jc w:val="both"/>
        <w:rPr>
          <w:sz w:val="28"/>
          <w:szCs w:val="28"/>
        </w:rPr>
      </w:pPr>
      <w:r w:rsidDel="00000000" w:rsidR="00000000" w:rsidRPr="00000000">
        <w:rPr>
          <w:b w:val="1"/>
          <w:bCs w:val="1"/>
          <w:sz w:val="28"/>
          <w:szCs w:val="28"/>
          <w:rtl w:val="0"/>
        </w:rPr>
        <w:t xml:space="preserve">E. Model Development and Evaluation</w:t>
      </w:r>
      <w:r w:rsidDel="00000000" w:rsidR="00000000" w:rsidRPr="00000000">
        <w:rPr>
          <w:rtl w:val="0"/>
        </w:rPr>
      </w:r>
    </w:p>
    <w:p w:rsidR="00000000" w:rsidDel="00000000" w:rsidP="00000000" w:rsidRDefault="00000000" w:rsidRPr="00000000" w14:paraId="0000003B">
      <w:pPr>
        <w:spacing w:line="360" w:lineRule="auto"/>
        <w:jc w:val="both"/>
        <w:rPr>
          <w:sz w:val="24"/>
          <w:szCs w:val="24"/>
        </w:rPr>
      </w:pPr>
      <w:r>
        <w:t>The dataset was divided using a stratified 80/20 split, yielding 736 training cases and 184 test cases while maintaining the class distribution in both sets. To address class imbalance, SMOTE (k=5) was applied exclusively within each cross-validation training fold to prevent data leakage — synthetic samples were never generated from test fold data. Five classifiers were evaluated using well-established hyperparameters: Logistic Regression (max_iter=1000, solver=lbfgs), Random Forest (n_estimators=100, max_depth=None, min_samples_split=2), XGBoost (n_estimators=100, learning_rate=0.1, max_depth=6, eval_metric=logloss), SVM (C=1.0, kernel=rbf, gamma=scale, probability=True), and KNN (n_neighbors=5, metric=minkowski). Model performance was assessed using accuracy, precision, recall, F1 score, and AUC under stratified 5-fold cross-validation with a fixed random seed (42) to ensure reproducibility.</w:t>
      </w:r>
    </w:p>
    <w:p w:rsidR="00000000" w:rsidDel="00000000" w:rsidP="00000000" w:rsidRDefault="00000000" w:rsidRPr="00000000" w14:paraId="0000003C">
      <w:pPr>
        <w:spacing w:line="360" w:lineRule="auto"/>
        <w:jc w:val="both"/>
        <w:rPr>
          <w:sz w:val="24"/>
          <w:szCs w:val="24"/>
        </w:rPr>
      </w:pPr>
    </w:p>
    <w:p w:rsidR="00000000" w:rsidDel="00000000" w:rsidP="00000000" w:rsidRDefault="00000000" w:rsidRPr="00000000" w14:paraId="0000003D">
      <w:pPr>
        <w:spacing w:line="360" w:lineRule="auto"/>
        <w:jc w:val="both"/>
        <w:rPr>
          <w:sz w:val="24"/>
          <w:szCs w:val="24"/>
        </w:rPr>
      </w:pPr>
      <w:r w:rsidDel="00000000" w:rsidR="00000000" w:rsidRPr="00000000">
        <w:rPr>
          <w:sz w:val="24"/>
          <w:szCs w:val="24"/>
          <w:rtl w:val="0"/>
        </w:rPr>
        <w:t>To assess robustness, a conceptual adversarial validation protocol was designed: Gaussian noise at 5% and 10% of each feature's standard deviation would be injected into test samples, and the resulting degradation in AUC and SHAP attribution stability would be measured. This test was designed at the methodology level but was not implemented as a fully automated pipeline in this study; it is acknowledged as a planned extension for future work [22].</w:t>
      </w:r>
    </w:p>
    <w:p w:rsidR="00000000" w:rsidDel="00000000" w:rsidP="00000000" w:rsidRDefault="00000000" w:rsidRPr="00000000" w14:paraId="0000003E">
      <w:pPr>
        <w:spacing w:line="360" w:lineRule="auto"/>
        <w:jc w:val="both"/>
        <w:rPr>
          <w:sz w:val="24"/>
          <w:szCs w:val="24"/>
        </w:rPr>
      </w:pPr>
      <w:r w:rsidDel="00000000" w:rsidR="00000000" w:rsidRPr="00000000">
        <w:rPr>
          <w:rtl w:val="0"/>
        </w:rPr>
      </w:r>
    </w:p>
    <w:p w:rsidR="00000000" w:rsidDel="00000000" w:rsidP="00000000" w:rsidRDefault="00000000" w:rsidRPr="00000000" w14:paraId="0000003F">
      <w:pPr>
        <w:spacing w:line="360" w:lineRule="auto"/>
        <w:jc w:val="both"/>
        <w:rPr>
          <w:sz w:val="28"/>
          <w:szCs w:val="28"/>
        </w:rPr>
      </w:pPr>
      <w:r w:rsidDel="00000000" w:rsidR="00000000" w:rsidRPr="00000000">
        <w:rPr>
          <w:b w:val="1"/>
          <w:bCs w:val="1"/>
          <w:sz w:val="28"/>
          <w:szCs w:val="28"/>
          <w:rtl w:val="0"/>
        </w:rPr>
        <w:t xml:space="preserve">F. Explainability Framework</w:t>
      </w:r>
      <w:r w:rsidDel="00000000" w:rsidR="00000000" w:rsidRPr="00000000">
        <w:rPr>
          <w:rtl w:val="0"/>
        </w:rPr>
      </w:r>
    </w:p>
    <w:p w:rsidR="00000000" w:rsidDel="00000000" w:rsidP="00000000" w:rsidRDefault="00000000" w:rsidRPr="00000000" w14:paraId="00000040">
      <w:pPr>
        <w:spacing w:line="360" w:lineRule="auto"/>
        <w:jc w:val="both"/>
        <w:rPr>
          <w:sz w:val="24"/>
          <w:szCs w:val="24"/>
        </w:rPr>
      </w:pPr>
      <w:r w:rsidDel="00000000" w:rsidR="00000000" w:rsidRPr="00000000">
        <w:rPr>
          <w:sz w:val="24"/>
          <w:szCs w:val="24"/>
          <w:rtl w:val="0"/>
        </w:rPr>
        <w:t xml:space="preserve">Interpretability was the concern dealt with by two global local approaches. Following the best performing model (Random Forest), SHAP values were generated with a bee swarm summary plot visualizing global feature importance on the positive class. To understand local knowledge, the prediction of a single positive instance was decomposed using a waterfall plot, indicating the effect each feature exerted on the derived output. Complementarily, LIME represented a second local explanation by perturbing the example and cost-effectively modelling a sparse linear representation. To enable LIME on categorical data, the original string features were label encoded into integers, and a custom prediction wrapper inversely transformed the perturbed samples back to strings before calling the model’s predict_proba. This hybrid XAI design would provide not only the population-wide picture but patient-specific justification, which can create trust in clinics to adopt the technology [23].</w:t>
      </w:r>
    </w:p>
    <w:p w:rsidR="00000000" w:rsidDel="00000000" w:rsidP="00000000" w:rsidRDefault="00000000" w:rsidRPr="00000000" w14:paraId="00000041">
      <w:pPr>
        <w:spacing w:line="360" w:lineRule="auto"/>
        <w:jc w:val="both"/>
        <w:rPr>
          <w:sz w:val="24"/>
          <w:szCs w:val="24"/>
        </w:rPr>
      </w:pPr>
      <w:r w:rsidDel="00000000" w:rsidR="00000000" w:rsidRPr="00000000">
        <w:rPr>
          <w:rtl w:val="0"/>
        </w:rPr>
      </w:r>
    </w:p>
    <w:p w:rsidR="00000000" w:rsidDel="00000000" w:rsidP="00000000" w:rsidRDefault="00000000" w:rsidRPr="00000000" w14:paraId="00000042">
      <w:pPr>
        <w:spacing w:line="360" w:lineRule="auto"/>
        <w:jc w:val="both"/>
        <w:rPr>
          <w:sz w:val="28"/>
          <w:szCs w:val="28"/>
        </w:rPr>
      </w:pPr>
      <w:r w:rsidDel="00000000" w:rsidR="00000000" w:rsidRPr="00000000">
        <w:rPr>
          <w:b w:val="1"/>
          <w:bCs w:val="1"/>
          <w:sz w:val="28"/>
          <w:szCs w:val="28"/>
          <w:rtl w:val="0"/>
        </w:rPr>
        <w:t xml:space="preserve">G. Ethical, Legal, and Social Compliance</w:t>
      </w:r>
      <w:r w:rsidDel="00000000" w:rsidR="00000000" w:rsidRPr="00000000">
        <w:rPr>
          <w:rtl w:val="0"/>
        </w:rPr>
      </w:r>
    </w:p>
    <w:p w:rsidR="00000000" w:rsidDel="00000000" w:rsidP="00000000" w:rsidRDefault="00000000" w:rsidRPr="00000000" w14:paraId="00000043">
      <w:pPr>
        <w:spacing w:line="360" w:lineRule="auto"/>
        <w:jc w:val="both"/>
        <w:rPr>
          <w:sz w:val="24"/>
          <w:szCs w:val="24"/>
        </w:rPr>
      </w:pPr>
      <w:r w:rsidDel="00000000" w:rsidR="00000000" w:rsidRPr="00000000">
        <w:rPr>
          <w:sz w:val="24"/>
          <w:szCs w:val="24"/>
          <w:rtl w:val="0"/>
        </w:rPr>
        <w:t xml:space="preserve">The ethical guidelines of the research include the ACM Code of Ethics and the BCS Code of Conduct. The data used is completely anonymised, is open source and has nothing personally identifiable, which means no extra ethical permission is required. The model designed is clearly positioned as a decision support assistant, instead of being an autonomous diagnostic tool, and its limitations are clearly communicated to clinicians [24]. By enabling the rationale of the decision to be made accessible with the help of SHAP and LIME, the framework will also aim at augmenting as opposed to replacement of medical expertise and hence reduce the chances of misinterpretation and misuse.</w:t>
      </w:r>
    </w:p>
    <w:p w:rsidR="00000000" w:rsidDel="00000000" w:rsidP="00000000" w:rsidRDefault="00000000" w:rsidRPr="00000000" w14:paraId="00000044">
      <w:pPr>
        <w:spacing w:line="360" w:lineRule="auto"/>
        <w:jc w:val="both"/>
        <w:rPr>
          <w:sz w:val="24"/>
          <w:szCs w:val="24"/>
        </w:rPr>
      </w:pPr>
      <w:r w:rsidDel="00000000" w:rsidR="00000000" w:rsidRPr="00000000">
        <w:rPr>
          <w:b w:val="1"/>
          <w:bCs w:val="1"/>
          <w:sz w:val="24"/>
          <w:szCs w:val="24"/>
          <w:rtl w:val="0"/>
        </w:rPr>
        <w:t xml:space="preserve">H. Risks and Limitations</w:t>
      </w:r>
      <w:r w:rsidDel="00000000" w:rsidR="00000000" w:rsidRPr="00000000">
        <w:rPr>
          <w:rtl w:val="0"/>
        </w:rPr>
      </w:r>
    </w:p>
    <w:p w:rsidR="00000000" w:rsidDel="00000000" w:rsidP="00000000" w:rsidRDefault="00000000" w:rsidRPr="00000000" w14:paraId="00000045">
      <w:pPr>
        <w:spacing w:line="360" w:lineRule="auto"/>
        <w:jc w:val="both"/>
        <w:rPr>
          <w:sz w:val="24"/>
          <w:szCs w:val="24"/>
        </w:rPr>
      </w:pPr>
      <w:r w:rsidDel="00000000" w:rsidR="00000000" w:rsidRPr="00000000">
        <w:rPr>
          <w:sz w:val="24"/>
          <w:szCs w:val="24"/>
          <w:rtl w:val="0"/>
        </w:rPr>
        <w:t xml:space="preserve">Systematic risk evaluation was carried out. Data risks (missing values, outliers, imbalance) were addressed by ensuring rigorous cleaning of pipelines and SMOTE. The model risks (overfitting, biased evaluation) were addressed through stratified cross-validation, multi metric score, and adversarial robustness planning. The ethical risk (opacity, unfair bias) was resolved with the help of explainability and compliance with professional codes. The operational risks (code errors, irreproducibility) were minimised by writing down everything (code) and using fixed random seeds [25].</w:t>
      </w:r>
    </w:p>
    <w:p w:rsidR="00000000" w:rsidDel="00000000" w:rsidP="00000000" w:rsidRDefault="00000000" w:rsidRPr="00000000" w14:paraId="00000046">
      <w:pPr>
        <w:spacing w:line="360" w:lineRule="auto"/>
        <w:jc w:val="both"/>
        <w:rPr>
          <w:sz w:val="24"/>
          <w:szCs w:val="24"/>
        </w:rPr>
      </w:pPr>
      <w:r>
        <w:t>Several intrinsic limitations must be acknowledged. First, despite using all four UCI centre subsets (n=920), missingness is severe in key features: ca is missing in 66.4% of records and thal in 52.8%, meaning the imputed values for these features may not reflect true clinical measurements and could bias feature importance estimates. Second, the dataset originates from four centres but remains limited in geographic and demographic diversity, restricting external generalisability. Third, the binary target collapses the original five-point disease severity scale, preventing the model from distinguishing mild from severe cases. Fourth, SMOTE generates synthetic samples which may introduce artefacts that affect SHAP feature importance values. Fifth, the adversarial robustness testing described in this study was designed conceptually only and was not fully implemented as an automated pipeline. Finally, SHAP and LIME explain associations between features and predictions; they do not establish causal relationships, and unmeasured confounders cannot be excluded.</w:t>
      </w:r>
    </w:p>
    <w:p w:rsidR="00000000" w:rsidDel="00000000" w:rsidP="00000000" w:rsidRDefault="00000000" w:rsidRPr="00000000" w14:paraId="00000047">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Results</w:t>
      </w:r>
    </w:p>
    <w:p w:rsidR="00000000" w:rsidDel="00000000" w:rsidP="00000000" w:rsidRDefault="00000000" w:rsidRPr="00000000" w14:paraId="00000048">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A. Data Preparation and Integrity</w:t>
      </w:r>
    </w:p>
    <w:p w:rsidR="00000000" w:rsidDel="00000000" w:rsidP="00000000" w:rsidRDefault="00000000" w:rsidRPr="00000000" w14:paraId="00000049">
      <w:pPr>
        <w:spacing w:line="360" w:lineRule="auto"/>
        <w:jc w:val="both"/>
        <w:rPr>
          <w:sz w:val="24"/>
          <w:szCs w:val="24"/>
        </w:rPr>
      </w:pPr>
      <w:r>
        <w:t>Following median imputation for continuous features and mode imputation for categorical features inside the sklearn pipeline, all columns reported zero missing values at training time. The raw dataset contained missingness in trestbps (59, 6.4%), chol (30, 3.3%), fbs (90, 10.9%), thalch (55, 6.0%), exang (55, 6.0%), oldpeak (62, 7.2%), slope (309, 33.6%), ca (611, 66.4%), and thal (486, 52.8%). The physically impossible negative values in oldpeak (minimum -2.6 in raw data) were clipped to zero prior to IQR capping, as ST depression cannot be negative by clinical definition. Outlier capping with the 1.5×IQR rule was applied to age, trestbps, chol, thalch, and oldpeak. The before/after box plots (Figure 7) confirm that extreme values were removed: chol dropped from a maximum of 603 mg/dl to approximately 400 mg/dl, trestbps outliers near 0 and 200 mmHg were capped, and oldpeak was corrected from -2.6–6.2 to 0–4.0. The feature ca was excluded from IQR capping as it is a discrete integer count (0–3). The final feature matrix comprised 920 records and 13 features, with a disease-positive rate of 55.3% (n=509 disease, n=411 no disease). The stratified 80/20 split yielded 736 training and 184 test cases, preserving the 55.3%/55.4% class balance across both sets.</w:t>
      </w:r>
    </w:p>
    <w:p w:rsidR="00000000" w:rsidDel="00000000" w:rsidP="00000000" w:rsidRDefault="00000000" w:rsidRPr="00000000" w14:paraId="0000004A">
      <w:pPr>
        <w:spacing w:line="360" w:lineRule="auto"/>
        <w:jc w:val="both"/>
        <w:rPr>
          <w:sz w:val="24"/>
          <w:szCs w:val="24"/>
        </w:rPr>
      </w:pPr>
      <w:r w:rsidDel="00000000" w:rsidR="00000000" w:rsidRPr="00000000">
        <w:rPr>
          <w:rtl w:val="0"/>
        </w:rPr>
      </w:r>
    </w:p>
    <w:p w:rsidR="00000000" w:rsidDel="00000000" w:rsidP="00000000" w:rsidRDefault="00000000" w:rsidRPr="00000000" w14:paraId="0000004B">
      <w:pPr>
        <w:keepNext w:val="1"/>
        <w:spacing w:line="360" w:lineRule="auto"/>
        <w:jc w:val="both"/>
        <w:rPr>
          <w:sz w:val="24"/>
          <w:szCs w:val="24"/>
        </w:rPr>
      </w:pPr>
      <w:r w:rsidDel="00000000" w:rsidR="00000000" w:rsidRPr="00000000">
        <w:rPr>
          <w:sz w:val="24"/>
          <w:szCs w:val="24"/>
        </w:rPr>
        <w:drawing>
          <wp:inline distB="0" distT="0" distL="114300" distR="114300">
            <wp:extent cx="2555240" cy="3215005"/>
            <wp:effectExtent b="0" l="0" r="0" t="0"/>
            <wp:docPr id="1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2555240" cy="321500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line="360" w:lineRule="auto"/>
        <w:jc w:val="both"/>
        <w:rPr>
          <w:b w:val="1"/>
          <w:bCs w:val="1"/>
          <w:sz w:val="24"/>
          <w:szCs w:val="24"/>
        </w:rPr>
      </w:pPr>
      <w:r w:rsidDel="00000000" w:rsidR="00000000" w:rsidRPr="00000000">
        <w:rPr>
          <w:b w:val="1"/>
          <w:bCs w:val="1"/>
          <w:sz w:val="24"/>
          <w:szCs w:val="24"/>
          <w:rtl w:val="0"/>
        </w:rPr>
        <w:t xml:space="preserve">Figure 7: Before vs After Boxplots</w:t>
      </w:r>
    </w:p>
    <w:p w:rsidR="00000000" w:rsidDel="00000000" w:rsidP="00000000" w:rsidRDefault="00000000" w:rsidRPr="00000000" w14:paraId="0000004D">
      <w:pPr>
        <w:spacing w:line="360" w:lineRule="auto"/>
        <w:jc w:val="both"/>
        <w:rPr>
          <w:sz w:val="24"/>
          <w:szCs w:val="24"/>
        </w:rPr>
      </w:pPr>
      <w:r w:rsidDel="00000000" w:rsidR="00000000" w:rsidRPr="00000000">
        <w:rPr>
          <w:rtl w:val="0"/>
        </w:rPr>
      </w:r>
    </w:p>
    <w:p w:rsidR="00000000" w:rsidDel="00000000" w:rsidP="00000000" w:rsidRDefault="00000000" w:rsidRPr="00000000" w14:paraId="0000004E">
      <w:pPr>
        <w:spacing w:line="360" w:lineRule="auto"/>
        <w:jc w:val="both"/>
        <w:rPr>
          <w:sz w:val="24"/>
          <w:szCs w:val="24"/>
        </w:rPr>
      </w:pPr>
      <w:r w:rsidDel="00000000" w:rsidR="00000000" w:rsidRPr="00000000">
        <w:rPr>
          <w:rtl w:val="0"/>
        </w:rPr>
      </w:r>
    </w:p>
    <w:p w:rsidR="00000000" w:rsidDel="00000000" w:rsidP="00000000" w:rsidRDefault="00000000" w:rsidRPr="00000000" w14:paraId="0000004F">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B. Classifier Performance on the Test Set</w:t>
      </w:r>
    </w:p>
    <w:p w:rsidR="00000000" w:rsidDel="00000000" w:rsidP="00000000" w:rsidRDefault="00000000" w:rsidRPr="00000000" w14:paraId="00000050">
      <w:pPr>
        <w:spacing w:line="360" w:lineRule="auto"/>
        <w:jc w:val="both"/>
        <w:rPr>
          <w:sz w:val="24"/>
          <w:szCs w:val="24"/>
        </w:rPr>
      </w:pPr>
      <w:r>
        <w:rPr/>
        <w:t>Five-fold stratified cross-validation on the training set (n=736) with SMOTE applied inside each fold showed SVM achieving the highest CV AUC of 0.890 ± 0.023, followed by Logistic Regression (0.883 ± 0.023), Random Forest (0.876 ± 0.022), KNN (0.860 ± 0.041), and XGBoost (0.859 ± 0.026). On the held-out test set (n=184), Random Forest achieved the highest AUC of 0.916 and best precision-recall balance (Precision=0.857, Recall=0.882, F1=0.870). XGBoost and SVM both achieved the highest recall of 0.902, meaning they missed the fewest disease-positive cases (FN=10 each). The confusion matrix true positive / false negative counts per model were: Logistic Regression (TP=88, FN=14), Random Forest (TP=90, FN=12), XGBoost (TP=92, FN=10), SVM (TP=92, FN=10), KNN (TP=83, FN=19). KNN recorded the highest false negative count (FN=19), indicating the most missed diagnoses. Full metrics are reported in Table I (cross-validation) and Table II (test set).</w:t>
      </w:r>
    </w:p>
    <w:p w:rsidR="00000000" w:rsidDel="00000000" w:rsidP="00000000" w:rsidRDefault="00000000" w:rsidRPr="00000000" w14:paraId="00000051">
      <w:pPr>
        <w:spacing w:line="360" w:lineRule="auto"/>
        <w:jc w:val="both"/>
        <w:rPr>
          <w:sz w:val="24"/>
          <w:szCs w:val="24"/>
        </w:rPr>
      </w:pPr>
      <w:r>
        <w:rPr/>
        <w:t>The ROC curves (Figure 8) provide a threshold-independent measure of discrimination. All five classifiers performed well above the diagonal random-guess baseline. Random Forest achieved the highest test AUC of 0.916, followed by SVM (0.913), XGBoost (0.903), Logistic Regression (0.900), and KNN (0.880). The tight clustering of four models between AUC 0.900–0.916 confirms that the preprocessing pipeline and SMOTE-augmented training produced consistently reliable classifiers. KNN sat noticeably lower, consistent with its instance-based learning being more sensitive to the high-missingness features in the dataset.</w:t>
      </w:r>
    </w:p>
    <w:p w:rsidR="00000000" w:rsidDel="00000000" w:rsidP="00000000" w:rsidRDefault="00000000" w:rsidRPr="00000000" w14:paraId="00000052">
      <w:pPr>
        <w:spacing w:line="360" w:lineRule="auto"/>
        <w:jc w:val="both"/>
        <w:rPr>
          <w:sz w:val="24"/>
          <w:szCs w:val="24"/>
        </w:rPr>
      </w:pPr>
      <w:r w:rsidDel="00000000" w:rsidR="00000000" w:rsidRPr="00000000">
        <w:rPr>
          <w:rtl w:val="0"/>
        </w:rPr>
      </w:r>
    </w:p>
    <w:p w:rsidR="00000000" w:rsidDel="00000000" w:rsidP="00000000" w:rsidRDefault="00000000" w:rsidRPr="00000000" w14:paraId="00000053">
      <w:pPr>
        <w:spacing w:line="360" w:lineRule="auto"/>
        <w:jc w:val="both"/>
        <w:rPr>
          <w:sz w:val="24"/>
          <w:szCs w:val="24"/>
        </w:rPr>
      </w:pPr>
      <w:r w:rsidDel="00000000" w:rsidR="00000000" w:rsidRPr="00000000">
        <w:rPr>
          <w:rtl w:val="0"/>
        </w:rPr>
      </w:r>
    </w:p>
    <w:p w:rsidR="00000000" w:rsidDel="00000000" w:rsidP="00000000" w:rsidRDefault="00000000" w:rsidRPr="00000000" w14:paraId="00000054">
      <w:pPr>
        <w:keepNext w:val="1"/>
        <w:spacing w:line="360" w:lineRule="auto"/>
        <w:jc w:val="both"/>
        <w:rPr>
          <w:sz w:val="24"/>
          <w:szCs w:val="24"/>
        </w:rPr>
      </w:pPr>
      <w:r w:rsidDel="00000000" w:rsidR="00000000" w:rsidRPr="00000000">
        <w:rPr>
          <w:sz w:val="24"/>
          <w:szCs w:val="24"/>
        </w:rPr>
        <w:drawing>
          <wp:inline distB="0" distT="0" distL="114300" distR="114300">
            <wp:extent cx="3244850" cy="2653030"/>
            <wp:effectExtent b="0" l="0" r="0" t="0"/>
            <wp:docPr id="1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244850" cy="265303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360" w:lineRule="auto"/>
        <w:jc w:val="both"/>
        <w:rPr>
          <w:b w:val="1"/>
          <w:bCs w:val="1"/>
          <w:sz w:val="24"/>
          <w:szCs w:val="24"/>
        </w:rPr>
      </w:pPr>
      <w:r w:rsidDel="00000000" w:rsidR="00000000" w:rsidRPr="00000000">
        <w:rPr>
          <w:b w:val="1"/>
          <w:bCs w:val="1"/>
          <w:sz w:val="24"/>
          <w:szCs w:val="24"/>
          <w:rtl w:val="0"/>
        </w:rPr>
        <w:t xml:space="preserve">Figure 8: ROC Curve - Test Set</w:t>
      </w:r>
    </w:p>
    <w:p w:rsidR="00000000" w:rsidDel="00000000" w:rsidP="00000000" w:rsidRDefault="00000000" w:rsidRPr="00000000" w14:paraId="00000056">
      <w:pPr>
        <w:spacing w:line="360" w:lineRule="auto"/>
        <w:jc w:val="both"/>
        <w:rPr>
          <w:sz w:val="24"/>
          <w:szCs w:val="24"/>
        </w:rPr>
      </w:pPr>
      <w:r w:rsidDel="00000000" w:rsidR="00000000" w:rsidRPr="00000000">
        <w:rPr>
          <w:rtl w:val="0"/>
        </w:rPr>
      </w:r>
    </w:p>
    <w:p w:rsidR="00000000" w:rsidDel="00000000" w:rsidP="00000000" w:rsidRDefault="00000000" w:rsidRPr="00000000" w14:paraId="00000057">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C. In-Depth Analysis of the Best Model: Random Forest</w:t>
      </w:r>
    </w:p>
    <w:p w:rsidR="00000000" w:rsidDel="00000000" w:rsidP="00000000" w:rsidRDefault="00000000" w:rsidRPr="00000000" w14:paraId="00000058">
      <w:pPr>
        <w:spacing w:line="360" w:lineRule="auto"/>
        <w:jc w:val="both"/>
        <w:rPr>
          <w:sz w:val="24"/>
          <w:szCs w:val="24"/>
        </w:rPr>
      </w:pPr>
      <w:r>
        <w:rPr/>
        <w:t>Random Forest was selected as the primary model for explainability analysis due to its highest test AUC (0.916) and best overall precision-recall balance. The confusion matrix (Figure 9) shows that on the 184-case test set, Random Forest correctly classified 67 true negatives and 90 true positives, with 15 false positives and 12 false negatives. Missing only 12 disease-positive cases out of 102 gives a recall of 0.882, meaning 88.2% of actual heart disease patients were correctly identified. The 15 false positives represent patients flagged as disease-positive who were healthy — an acceptable trade-off in a clinical screening context where missing a true case carries greater risk than an unnecessary follow-up.</w:t>
      </w:r>
    </w:p>
    <w:p w:rsidR="00000000" w:rsidDel="00000000" w:rsidP="00000000" w:rsidRDefault="00000000" w:rsidRPr="00000000" w14:paraId="00000059">
      <w:pPr>
        <w:keepNext w:val="1"/>
        <w:spacing w:line="360" w:lineRule="auto"/>
        <w:jc w:val="both"/>
        <w:rPr>
          <w:sz w:val="24"/>
          <w:szCs w:val="24"/>
        </w:rPr>
      </w:pPr>
      <w:r w:rsidDel="00000000" w:rsidR="00000000" w:rsidRPr="00000000">
        <w:rPr>
          <w:sz w:val="24"/>
          <w:szCs w:val="24"/>
        </w:rPr>
        <w:drawing>
          <wp:inline distB="0" distT="0" distL="114300" distR="114300">
            <wp:extent cx="2564130" cy="2281555"/>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564130" cy="228155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line="360" w:lineRule="auto"/>
        <w:jc w:val="both"/>
        <w:rPr>
          <w:b w:val="1"/>
          <w:bCs w:val="1"/>
          <w:sz w:val="24"/>
          <w:szCs w:val="24"/>
        </w:rPr>
      </w:pPr>
      <w:r w:rsidDel="00000000" w:rsidR="00000000" w:rsidRPr="00000000">
        <w:rPr>
          <w:b w:val="1"/>
          <w:bCs w:val="1"/>
          <w:sz w:val="24"/>
          <w:szCs w:val="24"/>
          <w:rtl w:val="0"/>
        </w:rPr>
        <w:t xml:space="preserve">Figure 9: Confusion Matrix Random Forest</w:t>
      </w:r>
    </w:p>
    <w:p w:rsidR="00000000" w:rsidDel="00000000" w:rsidP="00000000" w:rsidRDefault="00000000" w:rsidRPr="00000000" w14:paraId="0000005B">
      <w:pPr>
        <w:spacing w:line="360" w:lineRule="auto"/>
        <w:jc w:val="both"/>
        <w:rPr>
          <w:sz w:val="24"/>
          <w:szCs w:val="24"/>
        </w:rPr>
      </w:pPr>
      <w:r w:rsidDel="00000000" w:rsidR="00000000" w:rsidRPr="00000000">
        <w:rPr>
          <w:rtl w:val="0"/>
        </w:rPr>
      </w:r>
    </w:p>
    <w:p w:rsidR="00000000" w:rsidDel="00000000" w:rsidP="00000000" w:rsidRDefault="00000000" w:rsidRPr="00000000" w14:paraId="0000005C">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D. Global Interpretability with SHAP</w:t>
      </w:r>
    </w:p>
    <w:p w:rsidR="00000000" w:rsidDel="00000000" w:rsidP="00000000" w:rsidRDefault="00000000" w:rsidRPr="00000000" w14:paraId="0000005D">
      <w:pPr>
        <w:spacing w:line="360" w:lineRule="auto"/>
        <w:jc w:val="both"/>
        <w:rPr>
          <w:sz w:val="24"/>
          <w:szCs w:val="24"/>
        </w:rPr>
      </w:pPr>
      <w:r w:rsidDel="00000000" w:rsidR="00000000" w:rsidRPr="00000000">
        <w:rPr>
          <w:sz w:val="24"/>
          <w:szCs w:val="24"/>
          <w:rtl w:val="0"/>
        </w:rPr>
        <w:t xml:space="preserve">To determine which clinical features, guide the natural selection of the decisions of the model, a SHAP bee swarm summary plot was created with the classification as a positive path (Figure 4). Each is a test instance, with the horizontal position describing the SHAP value (positive values move the prediction towards disease), and colour used to encode the value of the feature (red = high, blue = low).</w:t>
      </w:r>
    </w:p>
    <w:p w:rsidR="00000000" w:rsidDel="00000000" w:rsidP="00000000" w:rsidRDefault="00000000" w:rsidRPr="00000000" w14:paraId="0000005E">
      <w:pPr>
        <w:spacing w:line="360" w:lineRule="auto"/>
        <w:jc w:val="both"/>
        <w:rPr>
          <w:sz w:val="24"/>
          <w:szCs w:val="24"/>
        </w:rPr>
      </w:pPr>
      <w:r>
        <w:t>The most influential predictor globally is oldpeak (ST depression): elevated ST depression values consistently receive large positive SHAP contributions, pushing predictions toward disease. Exercise-induced angina (exang_TRUE) and asymptomatic chest pain (cp_asymptomatic) are the next strongest global predictors, with SHAP values reaching up to +0.08 and +0.06 respectively for individual patients. Age contributes positively at higher values, while normal thalassemia (thal_normal) and female sex (sex_Female) are associated with lower disease probability. These rankings are clinically consistent: ST depression, exercise angina, and asymptomatic chest pain are well-established indicators of coronary artery disease in the cardiology literature.</w:t>
      </w:r>
    </w:p>
    <w:p w:rsidR="00000000" w:rsidDel="00000000" w:rsidP="00000000" w:rsidRDefault="00000000" w:rsidRPr="00000000" w14:paraId="0000005F">
      <w:pPr>
        <w:spacing w:line="360" w:lineRule="auto"/>
        <w:jc w:val="both"/>
        <w:rPr>
          <w:sz w:val="24"/>
          <w:szCs w:val="24"/>
        </w:rPr>
      </w:pPr>
      <w:r w:rsidDel="00000000" w:rsidR="00000000" w:rsidRPr="00000000">
        <w:rPr>
          <w:rtl w:val="0"/>
        </w:rPr>
      </w:r>
    </w:p>
    <w:p w:rsidR="00000000" w:rsidDel="00000000" w:rsidP="00000000" w:rsidRDefault="00000000" w:rsidRPr="00000000" w14:paraId="00000060">
      <w:pPr>
        <w:keepNext w:val="1"/>
        <w:spacing w:line="360" w:lineRule="auto"/>
        <w:jc w:val="both"/>
        <w:rPr>
          <w:sz w:val="24"/>
          <w:szCs w:val="24"/>
        </w:rPr>
      </w:pPr>
      <w:r w:rsidDel="00000000" w:rsidR="00000000" w:rsidRPr="00000000">
        <w:rPr>
          <w:sz w:val="24"/>
          <w:szCs w:val="24"/>
        </w:rPr>
        <w:drawing>
          <wp:inline distB="0" distT="0" distL="114300" distR="114300">
            <wp:extent cx="3200400" cy="1150620"/>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200400" cy="115062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line="360" w:lineRule="auto"/>
        <w:jc w:val="both"/>
        <w:rPr>
          <w:b w:val="1"/>
          <w:bCs w:val="1"/>
          <w:sz w:val="24"/>
          <w:szCs w:val="24"/>
        </w:rPr>
      </w:pPr>
      <w:r w:rsidDel="00000000" w:rsidR="00000000" w:rsidRPr="00000000">
        <w:rPr>
          <w:b w:val="1"/>
          <w:bCs w:val="1"/>
          <w:sz w:val="24"/>
          <w:szCs w:val="24"/>
          <w:rtl w:val="0"/>
        </w:rPr>
        <w:t xml:space="preserve">Figure 10: Random Forest Classification Report</w:t>
      </w:r>
    </w:p>
    <w:p w:rsidR="00000000" w:rsidDel="00000000" w:rsidP="00000000" w:rsidRDefault="00000000" w:rsidRPr="00000000" w14:paraId="00000062">
      <w:pPr>
        <w:spacing w:line="360" w:lineRule="auto"/>
        <w:jc w:val="both"/>
        <w:rPr>
          <w:sz w:val="24"/>
          <w:szCs w:val="24"/>
        </w:rPr>
      </w:pPr>
      <w:r w:rsidDel="00000000" w:rsidR="00000000" w:rsidRPr="00000000">
        <w:rPr>
          <w:sz w:val="24"/>
          <w:szCs w:val="24"/>
          <w:rtl w:val="0"/>
        </w:rPr>
        <w:t xml:space="preserve">These rankings of global importance are congruent with the literature: AzimiLemiret al. also found that chest pain type, and ST slope were predominant parameters in their multiparametric cardiac study. These clinically intuitive predictors were independently rediscovered by the fact that our SMOTE balanced Random Forest, alone, rediscovered these same clinically common intuitive predictors.</w:t>
      </w:r>
    </w:p>
    <w:p w:rsidR="00000000" w:rsidDel="00000000" w:rsidP="00000000" w:rsidRDefault="00000000" w:rsidRPr="00000000" w14:paraId="00000063">
      <w:pPr>
        <w:keepNext w:val="1"/>
        <w:spacing w:line="360" w:lineRule="auto"/>
        <w:jc w:val="both"/>
        <w:rPr>
          <w:sz w:val="24"/>
          <w:szCs w:val="24"/>
        </w:rPr>
      </w:pPr>
      <w:r w:rsidDel="00000000" w:rsidR="00000000" w:rsidRPr="00000000">
        <w:rPr>
          <w:sz w:val="24"/>
          <w:szCs w:val="24"/>
        </w:rPr>
        <w:drawing>
          <wp:inline distB="0" distT="0" distL="114300" distR="114300">
            <wp:extent cx="3202305" cy="4053205"/>
            <wp:effectExtent b="0" l="0" r="0" t="0"/>
            <wp:docPr id="1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202305" cy="405320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line="360" w:lineRule="auto"/>
        <w:jc w:val="both"/>
        <w:rPr>
          <w:b w:val="1"/>
          <w:bCs w:val="1"/>
          <w:sz w:val="24"/>
          <w:szCs w:val="24"/>
        </w:rPr>
      </w:pPr>
      <w:r w:rsidDel="00000000" w:rsidR="00000000" w:rsidRPr="00000000">
        <w:rPr>
          <w:b w:val="1"/>
          <w:bCs w:val="1"/>
          <w:sz w:val="24"/>
          <w:szCs w:val="24"/>
          <w:rtl w:val="0"/>
        </w:rPr>
        <w:t xml:space="preserve">Figure 11: Five-Fold Stratified Cross-Validation Performance</w:t>
      </w:r>
    </w:p>
    <w:p w:rsidR="00000000" w:rsidDel="00000000" w:rsidP="00000000" w:rsidRDefault="00000000" w:rsidRPr="00000000" w14:paraId="00000065">
      <w:pPr>
        <w:spacing w:line="360" w:lineRule="auto"/>
        <w:jc w:val="both"/>
        <w:rPr>
          <w:sz w:val="24"/>
          <w:szCs w:val="24"/>
        </w:rPr>
      </w:pPr>
      <w:r w:rsidDel="00000000" w:rsidR="00000000" w:rsidRPr="00000000">
        <w:rPr>
          <w:rtl w:val="0"/>
        </w:rPr>
      </w:r>
    </w:p>
    <w:p w:rsidR="00000000" w:rsidDel="00000000" w:rsidP="00000000" w:rsidRDefault="00000000" w:rsidRPr="00000000" w14:paraId="00000066">
      <w:pPr>
        <w:keepNext w:val="1"/>
        <w:spacing w:line="360" w:lineRule="auto"/>
        <w:jc w:val="both"/>
        <w:rPr>
          <w:sz w:val="24"/>
          <w:szCs w:val="24"/>
        </w:rPr>
      </w:pPr>
      <w:r w:rsidDel="00000000" w:rsidR="00000000" w:rsidRPr="00000000">
        <w:rPr>
          <w:sz w:val="24"/>
          <w:szCs w:val="24"/>
        </w:rPr>
        <w:drawing>
          <wp:inline distB="0" distT="0" distL="114300" distR="114300">
            <wp:extent cx="3199130" cy="1168400"/>
            <wp:effectExtent b="0" l="0" r="0" t="0"/>
            <wp:docPr id="1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319913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line="360" w:lineRule="auto"/>
        <w:jc w:val="both"/>
        <w:rPr>
          <w:b w:val="1"/>
          <w:bCs w:val="1"/>
          <w:sz w:val="24"/>
          <w:szCs w:val="24"/>
        </w:rPr>
      </w:pPr>
      <w:r w:rsidDel="00000000" w:rsidR="00000000" w:rsidRPr="00000000">
        <w:rPr>
          <w:b w:val="1"/>
          <w:bCs w:val="1"/>
          <w:sz w:val="24"/>
          <w:szCs w:val="24"/>
          <w:rtl w:val="0"/>
        </w:rPr>
        <w:t xml:space="preserve">Figure 12: Test - Set Performance</w:t>
      </w:r>
    </w:p>
    <w:p w:rsidR="00000000" w:rsidDel="00000000" w:rsidP="00000000" w:rsidRDefault="00000000" w:rsidRPr="00000000" w14:paraId="00000068">
      <w:pPr>
        <w:spacing w:line="360" w:lineRule="auto"/>
        <w:jc w:val="both"/>
        <w:rPr>
          <w:sz w:val="24"/>
          <w:szCs w:val="24"/>
        </w:rPr>
      </w:pPr>
      <w:r w:rsidDel="00000000" w:rsidR="00000000" w:rsidRPr="00000000">
        <w:rPr>
          <w:rtl w:val="0"/>
        </w:rPr>
      </w:r>
    </w:p>
    <w:p w:rsidR="00000000" w:rsidDel="00000000" w:rsidP="00000000" w:rsidRDefault="00000000" w:rsidRPr="00000000" w14:paraId="00000069">
      <w:pPr>
        <w:keepNext w:val="1"/>
        <w:spacing w:line="360" w:lineRule="auto"/>
        <w:jc w:val="both"/>
        <w:rPr>
          <w:sz w:val="24"/>
          <w:szCs w:val="24"/>
        </w:rPr>
      </w:pPr>
      <w:r w:rsidDel="00000000" w:rsidR="00000000" w:rsidRPr="00000000">
        <w:rPr>
          <w:sz w:val="24"/>
          <w:szCs w:val="24"/>
        </w:rPr>
        <w:drawing>
          <wp:inline distB="0" distT="0" distL="114300" distR="114300">
            <wp:extent cx="3229610" cy="1602105"/>
            <wp:effectExtent b="0" l="0" r="0" t="0"/>
            <wp:docPr id="1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3229610" cy="160210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line="360" w:lineRule="auto"/>
        <w:jc w:val="both"/>
        <w:rPr>
          <w:b w:val="1"/>
          <w:bCs w:val="1"/>
          <w:sz w:val="24"/>
          <w:szCs w:val="24"/>
        </w:rPr>
      </w:pPr>
      <w:r w:rsidDel="00000000" w:rsidR="00000000" w:rsidRPr="00000000">
        <w:rPr>
          <w:b w:val="1"/>
          <w:bCs w:val="1"/>
          <w:sz w:val="24"/>
          <w:szCs w:val="24"/>
          <w:rtl w:val="0"/>
        </w:rPr>
        <w:t xml:space="preserve">Figure 13: Model Comparison</w:t>
      </w:r>
    </w:p>
    <w:p w:rsidR="00000000" w:rsidDel="00000000" w:rsidP="00000000" w:rsidRDefault="00000000" w:rsidRPr="00000000" w14:paraId="0000006B">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E. Local Interpretability: Single Patient Explanations</w:t>
      </w:r>
    </w:p>
    <w:p w:rsidR="00000000" w:rsidDel="00000000" w:rsidP="00000000" w:rsidRDefault="00000000" w:rsidRPr="00000000" w14:paraId="0000006C">
      <w:pPr>
        <w:spacing w:line="360" w:lineRule="auto"/>
        <w:jc w:val="both"/>
        <w:rPr>
          <w:sz w:val="24"/>
          <w:szCs w:val="24"/>
        </w:rPr>
      </w:pPr>
      <w:r>
        <w:t>Although global feature importance reveals average model behaviour, clinical trust depends on understanding individual predictions. Two complementary local explanation methods were applied to the same true-positive patient (Patient 1): SHAP waterfall and LIME. SHAP decomposes the prediction by attributing exact Shapley values to each feature based on cooperative game theory, while LIME fits a locally faithful linear approximation around the specific patient instance. Applying both independently to the same patient allows cross-validation of the explanation — if both methods agree on the key drivers, this provides stronger evidence that the model is responding to clinically meaningful signals rather than data artefacts.</w:t>
      </w:r>
    </w:p>
    <w:p w:rsidR="00000000" w:rsidDel="00000000" w:rsidP="00000000" w:rsidRDefault="00000000" w:rsidRPr="00000000" w14:paraId="0000006D">
      <w:pPr>
        <w:spacing w:line="360" w:lineRule="auto"/>
        <w:jc w:val="both"/>
        <w:rPr>
          <w:sz w:val="24"/>
          <w:szCs w:val="24"/>
        </w:rPr>
      </w:pPr>
      <w:r>
        <w:t>The SHAP Waterfall Plot (Figure 15) breaks down the prediction for Patient 1 (True Positive) from the base value E[f(x)] = 0.501 — the model's average prediction across all patients — to the final prediction f(x) = 0.88. The strongest positive contributor was ST depression (oldpeak = 2.839, SHAP = +0.11), indicating that the patient's elevated ST depression pushed the disease probability up by 0.11. Exercise-induced angina (exang_TRUE, SHAP = +0.08) and asymptomatic chest pain (cp_asymptomatic, SHAP = +0.06) were the next strongest drivers. Additional positive contributions came from the absence of exercise angina encoding (exang_FALSE, +0.05), older age (age = 0.792 normalised, +0.04), absence of normal thalassemia (thal_normal, +0.03), and absence of atypical angina (cp_atypical angina, +0.02). The only negative contributors were low vessel count (ca = -0.358 normalised, -0.01) and fixed thalassemia defect (thal_fixed defect, -0.01), which marginally pulled the prediction toward no disease. The remaining 16 features contributed a combined +0.02.</w:t>
      </w:r>
    </w:p>
    <w:p w:rsidR="00000000" w:rsidDel="00000000" w:rsidP="00000000" w:rsidRDefault="00000000" w:rsidRPr="00000000" w14:paraId="0000006E">
      <w:pPr>
        <w:spacing w:line="360" w:lineRule="auto"/>
        <w:jc w:val="both"/>
        <w:rPr>
          <w:sz w:val="24"/>
          <w:szCs w:val="24"/>
        </w:rPr>
      </w:pPr>
      <w:r w:rsidDel="00000000" w:rsidR="00000000" w:rsidRPr="00000000">
        <w:rPr>
          <w:rtl w:val="0"/>
        </w:rPr>
      </w:r>
    </w:p>
    <w:p w:rsidR="00000000" w:rsidDel="00000000" w:rsidP="00000000" w:rsidRDefault="00000000" w:rsidRPr="00000000" w14:paraId="0000006F">
      <w:pPr>
        <w:keepNext w:val="1"/>
        <w:spacing w:line="360" w:lineRule="auto"/>
        <w:jc w:val="both"/>
        <w:rPr>
          <w:sz w:val="24"/>
          <w:szCs w:val="24"/>
        </w:rPr>
      </w:pPr>
      <w:r w:rsidDel="00000000" w:rsidR="00000000" w:rsidRPr="00000000">
        <w:rPr>
          <w:sz w:val="24"/>
          <w:szCs w:val="24"/>
        </w:rPr>
        <w:drawing>
          <wp:inline distB="0" distT="0" distL="114300" distR="114300">
            <wp:extent cx="2927985" cy="3532505"/>
            <wp:effectExtent b="0" l="0" r="0" t="0"/>
            <wp:docPr id="1"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2927985" cy="353250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line="360" w:lineRule="auto"/>
        <w:jc w:val="both"/>
        <w:rPr>
          <w:b w:val="1"/>
          <w:bCs w:val="1"/>
          <w:sz w:val="24"/>
          <w:szCs w:val="24"/>
        </w:rPr>
      </w:pPr>
      <w:r w:rsidDel="00000000" w:rsidR="00000000" w:rsidRPr="00000000">
        <w:rPr>
          <w:b w:val="1"/>
          <w:bCs w:val="1"/>
          <w:sz w:val="24"/>
          <w:szCs w:val="24"/>
          <w:rtl w:val="0"/>
        </w:rPr>
        <w:t xml:space="preserve">Figure 14: SHAP Bee Swarm Plot</w:t>
      </w:r>
    </w:p>
    <w:p w:rsidR="00000000" w:rsidDel="00000000" w:rsidP="00000000" w:rsidRDefault="00000000" w:rsidRPr="00000000" w14:paraId="00000071">
      <w:pPr>
        <w:keepNext w:val="1"/>
        <w:spacing w:line="360" w:lineRule="auto"/>
        <w:jc w:val="both"/>
        <w:rPr>
          <w:sz w:val="24"/>
          <w:szCs w:val="24"/>
        </w:rPr>
      </w:pPr>
      <w:r w:rsidDel="00000000" w:rsidR="00000000" w:rsidRPr="00000000">
        <w:rPr>
          <w:sz w:val="24"/>
          <w:szCs w:val="24"/>
        </w:rPr>
        <w:drawing>
          <wp:inline distB="0" distT="0" distL="114300" distR="114300">
            <wp:extent cx="2460625" cy="1978025"/>
            <wp:effectExtent b="0" l="0" r="0" t="0"/>
            <wp:docPr id="2"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2460625" cy="1978025"/>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line="360" w:lineRule="auto"/>
        <w:jc w:val="both"/>
        <w:rPr>
          <w:b w:val="1"/>
          <w:bCs w:val="1"/>
          <w:sz w:val="24"/>
          <w:szCs w:val="24"/>
        </w:rPr>
      </w:pPr>
      <w:r w:rsidDel="00000000" w:rsidR="00000000" w:rsidRPr="00000000">
        <w:rPr>
          <w:b w:val="1"/>
          <w:bCs w:val="1"/>
          <w:sz w:val="24"/>
          <w:szCs w:val="24"/>
          <w:rtl w:val="0"/>
        </w:rPr>
        <w:t xml:space="preserve">Figure 15: Shap Waterfall Plot</w:t>
      </w:r>
    </w:p>
    <w:p w:rsidR="00000000" w:rsidDel="00000000" w:rsidP="00000000" w:rsidRDefault="00000000" w:rsidRPr="00000000" w14:paraId="00000073">
      <w:pPr>
        <w:spacing w:line="360" w:lineRule="auto"/>
        <w:jc w:val="both"/>
        <w:rPr>
          <w:sz w:val="24"/>
          <w:szCs w:val="24"/>
        </w:rPr>
      </w:pPr>
      <w:r>
        <w:t>The LIME explanation for the same true-positive patient (Patient 1) corroborates the SHAP findings using an entirely independent local approximation method. The top positive contributors to the disease prediction were: asymptomatic chest pain (cp_asymptomatic, +0.13), elevated ST depression (oldpeak &gt; 0.64, +0.13), exercise-induced angina (exang_TRUE, +0.10), absence of atypical angina (cp_atypical angina ≤ 0.00, +0.09), and older age (age &gt; 0.68, +0.07). Negative contributors — features pushing the prediction toward no disease — were: low vessel count (ca ≤ -0.36, -0.05) and absence of reversable thalassemia defect (thal_reversable defect ≤ 0.00, -0.04). The convergence between SHAP and LIME on asymptomatic chest pain and exercise-induced angina as the strongest disease drivers, despite using fundamentally different explanation algorithms, strengthens confidence in the clinical validity of the model's decision-making.</w:t>
      </w:r>
    </w:p>
    <w:p w:rsidR="00000000" w:rsidDel="00000000" w:rsidP="00000000" w:rsidRDefault="00000000" w:rsidRPr="00000000" w14:paraId="00000074">
      <w:pPr>
        <w:spacing w:line="360" w:lineRule="auto"/>
        <w:jc w:val="both"/>
        <w:rPr>
          <w:sz w:val="24"/>
          <w:szCs w:val="24"/>
        </w:rPr>
      </w:pPr>
      <w:r w:rsidDel="00000000" w:rsidR="00000000" w:rsidRPr="00000000">
        <w:rPr>
          <w:rtl w:val="0"/>
        </w:rPr>
      </w:r>
    </w:p>
    <w:p w:rsidR="00000000" w:rsidDel="00000000" w:rsidP="00000000" w:rsidRDefault="00000000" w:rsidRPr="00000000" w14:paraId="00000075">
      <w:pPr>
        <w:keepNext w:val="1"/>
        <w:spacing w:line="360" w:lineRule="auto"/>
        <w:jc w:val="both"/>
        <w:rPr>
          <w:sz w:val="24"/>
          <w:szCs w:val="24"/>
        </w:rPr>
      </w:pPr>
      <w:r w:rsidDel="00000000" w:rsidR="00000000" w:rsidRPr="00000000">
        <w:rPr>
          <w:sz w:val="24"/>
          <w:szCs w:val="24"/>
        </w:rPr>
        <w:drawing>
          <wp:inline distB="0" distT="0" distL="114300" distR="114300">
            <wp:extent cx="3204210" cy="1048385"/>
            <wp:effectExtent b="0" l="0" r="0" t="0"/>
            <wp:docPr id="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3204210" cy="104838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line="360" w:lineRule="auto"/>
        <w:jc w:val="both"/>
        <w:rPr>
          <w:b w:val="1"/>
          <w:bCs w:val="1"/>
          <w:sz w:val="24"/>
          <w:szCs w:val="24"/>
        </w:rPr>
      </w:pPr>
      <w:r w:rsidDel="00000000" w:rsidR="00000000" w:rsidRPr="00000000">
        <w:rPr>
          <w:b w:val="1"/>
          <w:bCs w:val="1"/>
          <w:sz w:val="24"/>
          <w:szCs w:val="24"/>
          <w:rtl w:val="0"/>
        </w:rPr>
        <w:t xml:space="preserve">Figure 16: Probabilities Prediction</w:t>
      </w:r>
    </w:p>
    <w:p w:rsidR="00000000" w:rsidDel="00000000" w:rsidP="00000000" w:rsidRDefault="00000000" w:rsidRPr="00000000" w14:paraId="00000077">
      <w:pPr>
        <w:numPr>
          <w:ilvl w:val="0"/>
          <w:numId w:val="2"/>
        </w:numPr>
        <w:spacing w:line="360" w:lineRule="auto"/>
        <w:ind w:firstLine="216"/>
        <w:jc w:val="both"/>
      </w:pPr>
      <w:r w:rsidDel="00000000" w:rsidR="00000000" w:rsidRPr="00000000">
        <w:rPr>
          <w:b w:val="1"/>
          <w:bCs w:val="1"/>
          <w:sz w:val="24"/>
          <w:szCs w:val="24"/>
          <w:rtl w:val="0"/>
        </w:rPr>
        <w:t xml:space="preserve">F. Summary of Key Findings</w:t>
      </w:r>
      <w:r w:rsidDel="00000000" w:rsidR="00000000" w:rsidRPr="00000000">
        <w:rPr>
          <w:rtl w:val="0"/>
        </w:rPr>
      </w:r>
    </w:p>
    <w:p w:rsidR="00000000" w:rsidDel="00000000" w:rsidP="00000000" w:rsidRDefault="00000000" w:rsidRPr="00000000" w14:paraId="00000078">
      <w:pPr>
        <w:spacing w:line="360" w:lineRule="auto"/>
        <w:jc w:val="both"/>
        <w:rPr>
          <w:sz w:val="24"/>
          <w:szCs w:val="24"/>
        </w:rPr>
      </w:pPr>
      <w:r w:rsidDel="00000000" w:rsidR="00000000" w:rsidRPr="00000000">
        <w:rPr>
          <w:sz w:val="24"/>
          <w:szCs w:val="24"/>
          <w:rtl w:val="0"/>
        </w:rPr>
        <w:t xml:space="preserve">The experimental results demonstrate that:</w:t>
      </w:r>
    </w:p>
    <w:p w:rsidR="00000000" w:rsidDel="00000000" w:rsidP="00000000" w:rsidRDefault="00000000" w:rsidRPr="00000000" w14:paraId="00000079">
      <w:pPr>
        <w:spacing w:line="360" w:lineRule="auto"/>
        <w:jc w:val="both"/>
        <w:rPr>
          <w:sz w:val="24"/>
          <w:szCs w:val="24"/>
        </w:rPr>
      </w:pPr>
      <w:r w:rsidDel="00000000" w:rsidR="00000000" w:rsidRPr="00000000">
        <w:rPr>
          <w:b w:val="1"/>
          <w:bCs w:val="1"/>
          <w:sz w:val="24"/>
          <w:szCs w:val="24"/>
          <w:rtl w:val="0"/>
        </w:rPr>
        <w:t xml:space="preserve">Table: Summary of Key Experimental Results</w:t>
      </w:r>
      <w:r w:rsidDel="00000000" w:rsidR="00000000" w:rsidRPr="00000000">
        <w:rPr>
          <w:rtl w:val="0"/>
        </w:rPr>
      </w:r>
    </w:p>
    <w:tbl>
      <w:tblPr>
        <w:tblStyle w:val="Table1"/>
        <w:tblW w:w="52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
        <w:gridCol w:w="2100"/>
        <w:gridCol w:w="2820"/>
        <w:tblGridChange w:id="0">
          <w:tblGrid>
            <w:gridCol w:w="336"/>
            <w:gridCol w:w="2100"/>
            <w:gridCol w:w="2820"/>
          </w:tblGrid>
        </w:tblGridChange>
      </w:tblGrid>
      <w:tr>
        <w:trPr>
          <w:cantSplit w:val="0"/>
          <w:tblHeader w:val="0"/>
        </w:trPr>
        <w:tc>
          <w:tcPr>
            <w:vAlign w:val="top"/>
          </w:tcPr>
          <w:p>
            <w:r>
              <w:t>#</w:t>
            </w:r>
          </w:p>
        </w:tc>
        <w:tc>
          <w:tcPr>
            <w:vAlign w:val="top"/>
          </w:tcPr>
          <w:p>
            <w:r>
              <w:t>Finding</w:t>
            </w:r>
          </w:p>
        </w:tc>
        <w:tc>
          <w:tcPr>
            <w:vAlign w:val="top"/>
          </w:tcPr>
          <w:p>
            <w:r>
              <w:t>Evidence</w:t>
            </w:r>
          </w:p>
        </w:tc>
      </w:tr>
      <w:tr>
        <w:trPr>
          <w:cantSplit w:val="0"/>
          <w:tblHeader w:val="0"/>
        </w:trPr>
        <w:tc>
          <w:tcPr>
            <w:vAlign w:val="top"/>
          </w:tcPr>
          <w:p>
            <w:r>
              <w:t>1</w:t>
            </w:r>
          </w:p>
        </w:tc>
        <w:tc>
          <w:tcPr>
            <w:vAlign w:val="top"/>
          </w:tcPr>
          <w:p>
            <w:r>
              <w:t>Data integrity achieved</w:t>
            </w:r>
          </w:p>
        </w:tc>
        <w:tc>
          <w:tcPr>
            <w:vAlign w:val="top"/>
          </w:tcPr>
          <w:p>
            <w:r>
              <w:t>Zero missing values after imputation; outliers capped via IQR 1.5x; oldpeak negative values corrected to 0.</w:t>
            </w:r>
          </w:p>
        </w:tc>
      </w:tr>
      <w:tr>
        <w:trPr>
          <w:cantSplit w:val="0"/>
          <w:tblHeader w:val="0"/>
        </w:trPr>
        <w:tc>
          <w:tcPr>
            <w:vAlign w:val="top"/>
          </w:tcPr>
          <w:p>
            <w:r>
              <w:t>2</w:t>
            </w:r>
          </w:p>
        </w:tc>
        <w:tc>
          <w:tcPr>
            <w:vAlign w:val="top"/>
          </w:tcPr>
          <w:p>
            <w:r>
              <w:t>Strong classifier performance</w:t>
            </w:r>
          </w:p>
        </w:tc>
        <w:tc>
          <w:tcPr>
            <w:vAlign w:val="top"/>
          </w:tcPr>
          <w:p>
            <w:r>
              <w:t>Random Forest: test AUC=0.917, accuracy=0.853, precision=0.850, recall=0.892, F1=0.871. SVM: highest recall=0.902. All models test AUC &gt; 0.878.</w:t>
            </w:r>
          </w:p>
        </w:tc>
      </w:tr>
      <w:tr>
        <w:trPr>
          <w:cantSplit w:val="0"/>
          <w:tblHeader w:val="0"/>
        </w:trPr>
        <w:tc>
          <w:tcPr>
            <w:vAlign w:val="top"/>
          </w:tcPr>
          <w:p>
            <w:r>
              <w:t>3</w:t>
            </w:r>
          </w:p>
        </w:tc>
        <w:tc>
          <w:tcPr>
            <w:vAlign w:val="top"/>
          </w:tcPr>
          <w:p>
            <w:r>
              <w:t>Stable cross-validation</w:t>
            </w:r>
          </w:p>
        </w:tc>
        <w:tc>
          <w:tcPr>
            <w:vAlign w:val="top"/>
          </w:tcPr>
          <w:p>
            <w:r>
              <w:t>AUC SD &lt; 0.026 for 4 of 5 models across 5-fold stratified CV; KNN SD = 0.043 (highest variance).</w:t>
            </w:r>
          </w:p>
        </w:tc>
      </w:tr>
      <w:tr>
        <w:trPr>
          <w:cantSplit w:val="0"/>
          <w:tblHeader w:val="0"/>
        </w:trPr>
        <w:tc>
          <w:tcPr>
            <w:vAlign w:val="top"/>
          </w:tcPr>
          <w:p>
            <w:r>
              <w:t>4</w:t>
            </w:r>
          </w:p>
        </w:tc>
        <w:tc>
          <w:tcPr>
            <w:vAlign w:val="top"/>
          </w:tcPr>
          <w:p>
            <w:r>
              <w:t>Global SHAP: clinically plausible predictors</w:t>
            </w:r>
          </w:p>
        </w:tc>
        <w:tc>
          <w:tcPr>
            <w:vAlign w:val="top"/>
          </w:tcPr>
          <w:p>
            <w:r>
              <w:t>Top predictors: asymptomatic chest pain, reversible thalassemia, major vessel count, ST depression, exercise angina.</w:t>
            </w:r>
          </w:p>
        </w:tc>
      </w:tr>
      <w:tr>
        <w:trPr>
          <w:cantSplit w:val="0"/>
          <w:tblHeader w:val="0"/>
        </w:trPr>
        <w:tc>
          <w:tcPr>
            <w:vAlign w:val="top"/>
          </w:tcPr>
          <w:p>
            <w:r>
              <w:t>5</w:t>
            </w:r>
          </w:p>
        </w:tc>
        <w:tc>
          <w:tcPr>
            <w:vAlign w:val="top"/>
          </w:tcPr>
          <w:p>
            <w:r>
              <w:t>Local convergence of SHAP &amp; LIME</w:t>
            </w:r>
          </w:p>
        </w:tc>
        <w:tc>
          <w:tcPr>
            <w:vAlign w:val="top"/>
          </w:tcPr>
          <w:p>
            <w:r>
              <w:t>For a true-positive patient, both SHAP waterfall and LIME independently identified thalassemia and chest pain as the strongest drivers.</w:t>
            </w:r>
          </w:p>
        </w:tc>
      </w:tr>
    </w:tbl>
    <w:p w:rsidR="00000000" w:rsidDel="00000000" w:rsidP="00000000" w:rsidRDefault="00000000" w:rsidRPr="00000000" w14:paraId="0000008C">
      <w:pPr>
        <w:spacing w:line="360" w:lineRule="auto"/>
        <w:jc w:val="both"/>
        <w:rPr>
          <w:sz w:val="24"/>
          <w:szCs w:val="24"/>
        </w:rPr>
      </w:pPr>
      <w:r>
        <w:t>The pipeline produced a clean dataset enabling all five classifiers to achieve AUC values between 0.858 and 0.889 in 5-fold stratified cross-validation, with AUC standard deviations below 0.026 for four of the five models. SVM achieved the highest AUC (0.889), while Random Forest offered the best balance of precision (0.825 ± 0.045) and recall (0.835 ± 0.024). SHAP analysis identified asymptomatic chest pain, thalassemia type, and number of major vessels as the strongest predictors, consistent with established clinical knowledge.</w:t>
      </w:r>
    </w:p>
    <w:p w:rsidR="00000000" w:rsidDel="00000000" w:rsidP="00000000" w:rsidRDefault="00000000" w:rsidRPr="00000000" w14:paraId="0000008D">
      <w:pPr>
        <w:spacing w:after="160" w:line="360" w:lineRule="auto"/>
        <w:jc w:val="both"/>
        <w:rPr>
          <w:sz w:val="32"/>
          <w:szCs w:val="32"/>
        </w:rPr>
      </w:pPr>
      <w:r w:rsidDel="00000000" w:rsidR="00000000" w:rsidRPr="00000000">
        <w:rPr>
          <w:b w:val="1"/>
          <w:bCs w:val="1"/>
          <w:sz w:val="32"/>
          <w:szCs w:val="32"/>
          <w:rtl w:val="0"/>
        </w:rPr>
        <w:t xml:space="preserve">V. DISCUSSION</w:t>
      </w:r>
      <w:r w:rsidDel="00000000" w:rsidR="00000000" w:rsidRPr="00000000">
        <w:rPr>
          <w:rtl w:val="0"/>
        </w:rPr>
      </w:r>
    </w:p>
    <w:p w:rsidR="00000000" w:rsidDel="00000000" w:rsidP="00000000" w:rsidRDefault="00000000" w:rsidRPr="00000000" w14:paraId="0000008E">
      <w:pPr>
        <w:spacing w:line="360" w:lineRule="auto"/>
        <w:jc w:val="both"/>
        <w:rPr>
          <w:sz w:val="24"/>
          <w:szCs w:val="24"/>
        </w:rPr>
      </w:pPr>
      <w:r w:rsidDel="00000000" w:rsidR="00000000" w:rsidRPr="00000000">
        <w:rPr>
          <w:sz w:val="24"/>
          <w:szCs w:val="24"/>
          <w:rtl w:val="0"/>
        </w:rPr>
        <w:t>The experimental results demonstrate that an explainable machine learning pipeline can achieve strong predictive performance while remaining interpretable in clinical terms.</w:t>
      </w:r>
    </w:p>
    <w:p w:rsidR="00000000" w:rsidDel="00000000" w:rsidP="00000000" w:rsidRDefault="00000000" w:rsidRPr="00000000" w14:paraId="0000008F">
      <w:pPr>
        <w:spacing w:line="360" w:lineRule="auto"/>
        <w:jc w:val="both"/>
        <w:rPr>
          <w:sz w:val="28"/>
          <w:szCs w:val="28"/>
        </w:rPr>
      </w:pPr>
      <w:r w:rsidDel="00000000" w:rsidR="00000000" w:rsidRPr="00000000">
        <w:rPr>
          <w:b w:val="1"/>
          <w:bCs w:val="1"/>
          <w:sz w:val="28"/>
          <w:szCs w:val="28"/>
          <w:rtl w:val="0"/>
        </w:rPr>
        <w:t xml:space="preserve">A. Performance of the Model Performance</w:t>
      </w:r>
      <w:r w:rsidDel="00000000" w:rsidR="00000000" w:rsidRPr="00000000">
        <w:rPr>
          <w:rtl w:val="0"/>
        </w:rPr>
      </w:r>
    </w:p>
    <w:p w:rsidR="00000000" w:rsidDel="00000000" w:rsidP="00000000" w:rsidRDefault="00000000" w:rsidRPr="00000000" w14:paraId="00000090">
      <w:pPr>
        <w:spacing w:line="360" w:lineRule="auto"/>
        <w:jc w:val="both"/>
        <w:rPr>
          <w:sz w:val="24"/>
          <w:szCs w:val="24"/>
        </w:rPr>
      </w:pPr>
      <w:r>
        <w:rPr/>
        <w:t>All five classifiers achieved strong performance on the held-out test set (n=184). Random Forest recorded the highest AUC (0.916) with 90 true positives and 12 false negatives. SVM and XGBoost both achieved the highest recall (0.902) with only 10 false negatives each — making them the most clinically conservative classifiers for minimising missed diagnoses. Logistic Regression was competitive (AUC=0.900, TP=88, FN=14) despite its simplicity, reinforcing that the preprocessing pipeline and SMOTE drove much of the performance gain. XGBoost matched SVM on recall but recorded a lower AUC (0.903). KNN was the weakest performer with 19 false negatives and AUC 0.880, consistent with its higher cross-validation variance (SD=0.041) — likely a consequence of its instance-based learning being more sensitive to the SMOTE synthetic samples and high-missingness features.</w:t>
      </w:r>
    </w:p>
    <w:p w:rsidR="00000000" w:rsidDel="00000000" w:rsidP="00000000" w:rsidRDefault="00000000" w:rsidRPr="00000000" w14:paraId="00000091">
      <w:pPr>
        <w:spacing w:line="360" w:lineRule="auto"/>
        <w:jc w:val="both"/>
        <w:rPr>
          <w:sz w:val="24"/>
          <w:szCs w:val="24"/>
        </w:rPr>
      </w:pPr>
      <w:r>
        <w:rPr/>
        <w:t>Random Forest was selected as the primary model for SHAP and LIME explanation due to its highest test AUC (0.916) and strong recall (0.882), meaning it correctly identified 88.2% of all disease-positive cases in the test set. Its precision of 0.857 indicates that 85.7% of its positive predictions were correct, giving a reliable and balanced clinical decision-support profile.</w:t>
      </w:r>
    </w:p>
    <w:p w:rsidR="00000000" w:rsidDel="00000000" w:rsidP="00000000" w:rsidRDefault="00000000" w:rsidRPr="00000000" w14:paraId="00000092">
      <w:pPr>
        <w:spacing w:line="360" w:lineRule="auto"/>
        <w:jc w:val="both"/>
        <w:rPr>
          <w:sz w:val="24"/>
          <w:szCs w:val="24"/>
        </w:rPr>
      </w:pPr>
      <w:r>
        <w:t>Cross-validation stability was strong across four models, with AUC standard deviations below 0.026. KNN was the exception with SD=0.043, indicating higher sensitivity to the specific composition of each fold — likely a consequence of its instance-based learning being more affected by the SMOTE synthetic samples in training folds. The consistent performance across folds validates the robustness of the CRISP-DM pipeline.</w:t>
      </w:r>
    </w:p>
    <w:p w:rsidR="00000000" w:rsidDel="00000000" w:rsidP="00000000" w:rsidRDefault="00000000" w:rsidRPr="00000000" w14:paraId="00000093">
      <w:pPr>
        <w:spacing w:line="360" w:lineRule="auto"/>
        <w:jc w:val="both"/>
        <w:rPr>
          <w:sz w:val="28"/>
          <w:szCs w:val="28"/>
        </w:rPr>
      </w:pPr>
      <w:r w:rsidDel="00000000" w:rsidR="00000000" w:rsidRPr="00000000">
        <w:rPr>
          <w:b w:val="1"/>
          <w:bCs w:val="1"/>
          <w:sz w:val="28"/>
          <w:szCs w:val="28"/>
          <w:rtl w:val="0"/>
        </w:rPr>
        <w:t xml:space="preserve">B. Comparison with the Extant Work</w:t>
      </w:r>
      <w:r w:rsidDel="00000000" w:rsidR="00000000" w:rsidRPr="00000000">
        <w:rPr>
          <w:rtl w:val="0"/>
        </w:rPr>
      </w:r>
    </w:p>
    <w:p w:rsidR="00000000" w:rsidDel="00000000" w:rsidP="00000000" w:rsidRDefault="00000000" w:rsidRPr="00000000" w14:paraId="00000094">
      <w:pPr>
        <w:spacing w:line="360" w:lineRule="auto"/>
        <w:jc w:val="both"/>
        <w:rPr>
          <w:sz w:val="24"/>
          <w:szCs w:val="24"/>
        </w:rPr>
      </w:pPr>
      <w:r>
        <w:rPr/>
        <w:t>The test set AUC values obtained here (0.880–0.916) compare favourably with recent literature. Waqar et al. (2025) reported RF and XGBoost AUC values above 0.90 on the UCI dataset, consistent with our Random Forest AUC of 0.916 [8]. Lamir et al. (2025) reported similar accuracy ranges using ensemble methods [8]. The present study adds to these results by applying SMOTE strictly within cross-validation folds to prevent data leakage — a methodological control not consistently applied in prior work — and by providing both global (SHAP) and local (LIME) explanations for individual predictions [26].</w:t>
      </w:r>
    </w:p>
    <w:p w:rsidR="00000000" w:rsidDel="00000000" w:rsidP="00000000" w:rsidRDefault="00000000" w:rsidRPr="00000000" w14:paraId="00000095">
      <w:pPr>
        <w:spacing w:line="360" w:lineRule="auto"/>
        <w:jc w:val="both"/>
        <w:rPr>
          <w:sz w:val="24"/>
          <w:szCs w:val="24"/>
        </w:rPr>
      </w:pPr>
      <w:r w:rsidDel="00000000" w:rsidR="00000000" w:rsidRPr="00000000">
        <w:rPr>
          <w:sz w:val="24"/>
          <w:szCs w:val="24"/>
          <w:rtl w:val="0"/>
        </w:rPr>
        <w:t xml:space="preserve">The concept of adversarial testing presented here, although not completely automated, is also an incremental change to the existing literature. By considering noise injection at 5 % and 10 % of the feature standard deviation, the study admits the need for robustness tests in real-world applications, where noisy input data or incomplete input data may occur. Increased use of this test in the future will promote the credibility of the pipeline [33].</w:t>
      </w:r>
    </w:p>
    <w:p w:rsidR="00000000" w:rsidDel="00000000" w:rsidP="00000000" w:rsidRDefault="00000000" w:rsidRPr="00000000" w14:paraId="00000096">
      <w:pPr>
        <w:spacing w:line="360" w:lineRule="auto"/>
        <w:jc w:val="both"/>
        <w:rPr>
          <w:sz w:val="28"/>
          <w:szCs w:val="28"/>
        </w:rPr>
      </w:pPr>
      <w:r w:rsidDel="00000000" w:rsidR="00000000" w:rsidRPr="00000000">
        <w:rPr>
          <w:b w:val="1"/>
          <w:bCs w:val="1"/>
          <w:sz w:val="28"/>
          <w:szCs w:val="28"/>
          <w:rtl w:val="0"/>
        </w:rPr>
        <w:t xml:space="preserve">C. SHAP and LIME Findings: clinical relevance</w:t>
      </w:r>
      <w:r w:rsidDel="00000000" w:rsidR="00000000" w:rsidRPr="00000000">
        <w:rPr>
          <w:rtl w:val="0"/>
        </w:rPr>
      </w:r>
    </w:p>
    <w:p w:rsidR="00000000" w:rsidDel="00000000" w:rsidP="00000000" w:rsidRDefault="00000000" w:rsidRPr="00000000" w14:paraId="00000097">
      <w:pPr>
        <w:spacing w:line="360" w:lineRule="auto"/>
        <w:jc w:val="both"/>
        <w:rPr>
          <w:sz w:val="24"/>
          <w:szCs w:val="24"/>
        </w:rPr>
      </w:pPr>
      <w:r>
        <w:t>The SHAP waterfall analysis for Patient 1 identified ST depression (oldpeak, +0.11), exercise-induced angina (exang_TRUE, +0.08), and asymptomatic chest pain (cp_asymptomatic, +0.06) as the three strongest drivers of the disease prediction, lifting the base probability from 0.501 to a final score of 0.88. LIME independently identified asymptomatic chest pain (+0.13) and ST depression (oldpeak &gt; 0.64, +0.13) as the top two contributors for the same patient. The agreement between these two algorithmically independent methods on the same top features provides strong evidence that the model is responding to genuine clinical signals rather than data artefacts. All three features — ST depression, exercise angina, and asymptomatic chest pain — are well-recognised indicators of coronary artery disease, confirming the clinical plausibility of the model's decision-making process.</w:t>
      </w:r>
    </w:p>
    <w:p w:rsidR="00000000" w:rsidDel="00000000" w:rsidP="00000000" w:rsidRDefault="00000000" w:rsidRPr="00000000" w14:paraId="00000098">
      <w:pPr>
        <w:spacing w:line="360" w:lineRule="auto"/>
        <w:jc w:val="both"/>
        <w:rPr>
          <w:sz w:val="24"/>
          <w:szCs w:val="24"/>
        </w:rPr>
      </w:pPr>
      <w:r>
        <w:t>The local explanation analysis demonstrates strong convergence between SHAP and LIME for Patient 1. LIME identified asymptomatic chest pain (+0.13) and elevated ST depression (+0.13) as the two strongest disease predictors, with exercise-induced angina (+0.10) and older age (+0.07) also contributing positively. SHAP independently ranked asymptomatic chest pain and exercise-induced angina among the top drivers for the same patient. This agreement between two algorithmically distinct methods — one based on Shapley values, the other on local linear approximation — provides strong evidence that the model is capturing genuine clinical signals. Both findings are consistent with established cardiology literature, where asymptomatic chest pain, ST depression, and exercise-induced angina are well-recognised indicators of coronary artery disease.</w:t>
      </w:r>
    </w:p>
    <w:p w:rsidR="00000000" w:rsidDel="00000000" w:rsidP="00000000" w:rsidRDefault="00000000" w:rsidRPr="00000000" w14:paraId="00000099">
      <w:pPr>
        <w:spacing w:line="360" w:lineRule="auto"/>
        <w:jc w:val="both"/>
        <w:rPr>
          <w:sz w:val="28"/>
          <w:szCs w:val="28"/>
        </w:rPr>
      </w:pPr>
      <w:r w:rsidDel="00000000" w:rsidR="00000000" w:rsidRPr="00000000">
        <w:rPr>
          <w:b w:val="1"/>
          <w:bCs w:val="1"/>
          <w:sz w:val="28"/>
          <w:szCs w:val="28"/>
          <w:rtl w:val="0"/>
        </w:rPr>
        <w:t xml:space="preserve">D. Limitations</w:t>
      </w:r>
      <w:r w:rsidDel="00000000" w:rsidR="00000000" w:rsidRPr="00000000">
        <w:rPr>
          <w:rtl w:val="0"/>
        </w:rPr>
      </w:r>
    </w:p>
    <w:p w:rsidR="00000000" w:rsidDel="00000000" w:rsidP="00000000" w:rsidRDefault="00000000" w:rsidRPr="00000000" w14:paraId="0000009A">
      <w:pPr>
        <w:spacing w:line="360" w:lineRule="auto"/>
        <w:jc w:val="both"/>
        <w:rPr>
          <w:sz w:val="24"/>
          <w:szCs w:val="24"/>
        </w:rPr>
      </w:pPr>
      <w:r w:rsidDel="00000000" w:rsidR="00000000" w:rsidRPr="00000000">
        <w:rPr>
          <w:sz w:val="24"/>
          <w:szCs w:val="24"/>
          <w:rtl w:val="0"/>
        </w:rPr>
        <w:t>Several limitations must be acknowledged. First, although the dataset combines all four UCI centre subsets (n=920), missingness is severe in two key features: ca is missing in 66.4% of records and thal in 52.8%. The imputed values for these features may not reflect true clinical measurements and could bias feature importance estimates. Second, the dataset remains limited in geographic and demographic diversity, restricting external generalisability to other populations. Third, the binary target collapses the original five-point disease severity scale, removing clinically valuable information about disease progression. Fourth, SMOTE generates synthetic samples that may introduce artefacts affecting SHAP importance values. Fifth, the adversarial robustness testing was designed conceptually only and was not implemented as a fully automated pipeline. Finally, SHAP and LIME explain associations between features and predictions; they do not establish causal relationships, and unmeasured confounders cannot be excluded [36].</w:t>
      </w:r>
    </w:p>
    <w:p w:rsidR="00000000" w:rsidDel="00000000" w:rsidP="00000000" w:rsidRDefault="00000000" w:rsidRPr="00000000" w14:paraId="0000009B">
      <w:pPr>
        <w:spacing w:line="360" w:lineRule="auto"/>
        <w:jc w:val="both"/>
        <w:rPr>
          <w:sz w:val="28"/>
          <w:szCs w:val="28"/>
        </w:rPr>
      </w:pPr>
      <w:r w:rsidDel="00000000" w:rsidR="00000000" w:rsidRPr="00000000">
        <w:rPr>
          <w:b w:val="1"/>
          <w:bCs w:val="1"/>
          <w:sz w:val="28"/>
          <w:szCs w:val="28"/>
          <w:rtl w:val="0"/>
        </w:rPr>
        <w:t xml:space="preserve">E. Future Work</w:t>
      </w:r>
      <w:r w:rsidDel="00000000" w:rsidR="00000000" w:rsidRPr="00000000">
        <w:rPr>
          <w:rtl w:val="0"/>
        </w:rPr>
      </w:r>
    </w:p>
    <w:p w:rsidR="00000000" w:rsidDel="00000000" w:rsidP="00000000" w:rsidRDefault="00000000" w:rsidRPr="00000000" w14:paraId="0000009C">
      <w:pPr>
        <w:spacing w:after="160" w:line="360" w:lineRule="auto"/>
        <w:jc w:val="both"/>
        <w:rPr>
          <w:sz w:val="24"/>
          <w:szCs w:val="24"/>
        </w:rPr>
      </w:pPr>
      <w:r w:rsidDel="00000000" w:rsidR="00000000" w:rsidRPr="00000000">
        <w:rPr>
          <w:sz w:val="24"/>
          <w:szCs w:val="24"/>
          <w:rtl w:val="0"/>
        </w:rPr>
        <w:t xml:space="preserve">Based on this, there are several extensions that are justified. The pipeline is supposed to be tested on the full UCI repository (subsets Hungarian, Swiss, Long Beach VA) to evaluate cross-population robustness. Multi-class classification has the potential to recover the baseline severity grades of the diseases and offer finer risk profiles. GRID search Hyperparameter tuning may further optimize each of the classifiers, and the adversarial robustness test should be completely automated to measure the resilience of a model. Going on explainability, the incorporation of counterfactual explanations would provide a response to the clinician based on the analysis of the causes and effects of stress on an individual [37].</w:t>
      </w:r>
    </w:p>
    <w:p w:rsidR="00000000" w:rsidDel="00000000" w:rsidP="00000000" w:rsidRDefault="00000000" w:rsidRPr="00000000" w14:paraId="0000009D">
      <w:pPr>
        <w:spacing w:after="160" w:line="360" w:lineRule="auto"/>
        <w:jc w:val="both"/>
        <w:rPr>
          <w:sz w:val="32"/>
          <w:szCs w:val="32"/>
        </w:rPr>
      </w:pPr>
      <w:r w:rsidDel="00000000" w:rsidR="00000000" w:rsidRPr="00000000">
        <w:rPr>
          <w:b w:val="1"/>
          <w:bCs w:val="1"/>
          <w:sz w:val="32"/>
          <w:szCs w:val="32"/>
          <w:rtl w:val="0"/>
        </w:rPr>
        <w:t xml:space="preserve">VI. CONCLUSION</w:t>
      </w:r>
      <w:r w:rsidDel="00000000" w:rsidR="00000000" w:rsidRPr="00000000">
        <w:rPr>
          <w:rtl w:val="0"/>
        </w:rPr>
      </w:r>
    </w:p>
    <w:p w:rsidR="00000000" w:rsidDel="00000000" w:rsidP="00000000" w:rsidRDefault="00000000" w:rsidRPr="00000000" w14:paraId="0000009E">
      <w:pPr>
        <w:spacing w:line="360" w:lineRule="auto"/>
        <w:jc w:val="both"/>
        <w:rPr>
          <w:sz w:val="24"/>
          <w:szCs w:val="24"/>
        </w:rPr>
      </w:pPr>
      <w:r w:rsidDel="00000000" w:rsidR="00000000" w:rsidRPr="00000000">
        <w:rPr>
          <w:sz w:val="24"/>
          <w:szCs w:val="24"/>
          <w:rtl w:val="0"/>
        </w:rPr>
        <w:t>This study presented an explainable machine learning framework for early heart disease prediction, developed under the CRISP-DM methodology with a focus on clinical transparency and reproducibility. The pipeline processed the combined UCI heart disease dataset (n=920, four centres), handled missing values and outliers, balanced classes using SMOTE within cross-validation folds, and benchmarked five classifiers across five metrics. Random Forest achieved the highest test AUC (0.916) and the best overall precision-recall balance (Precision=0.857, Recall=0.882). SVM and XGBoost achieved the highest recall (0.902), minimising missed diagnoses. Cross-validation AUC standard deviations remained below 0.041 across all models, confirming pipeline stability.</w:t>
      </w:r>
    </w:p>
    <w:p w:rsidR="00000000" w:rsidDel="00000000" w:rsidP="00000000" w:rsidRDefault="00000000" w:rsidRPr="00000000" w14:paraId="0000009F">
      <w:pPr>
        <w:spacing w:line="360" w:lineRule="auto"/>
        <w:jc w:val="both"/>
        <w:rPr>
          <w:sz w:val="24"/>
          <w:szCs w:val="24"/>
        </w:rPr>
      </w:pPr>
      <w:r w:rsidDel="00000000" w:rsidR="00000000" w:rsidRPr="00000000">
        <w:rPr>
          <w:sz w:val="24"/>
          <w:szCs w:val="24"/>
          <w:rtl w:val="0"/>
        </w:rPr>
        <w:t>The combination of SHAP and LIME provided complementary layers of interpretability. Globally, SHAP identified ST depression (oldpeak), asymptomatic chest pain, and exercise-induced angina as the three strongest disease predictors — findings consistent with established cardiology literature. At the individual level, SHAP waterfall and LIME explanations for the same true-positive patient converged on the same top drivers, providing independent cross-validation of the model's clinical reasoning. This agreement between two algorithmically distinct methods strengthens confidence that the model responds to genuine clinical signals rather than data artefacts.</w:t>
      </w:r>
    </w:p>
    <w:p w:rsidR="00000000" w:rsidDel="00000000" w:rsidP="00000000" w:rsidRDefault="00000000" w:rsidRPr="00000000" w14:paraId="000000A0">
      <w:pPr>
        <w:spacing w:line="360" w:lineRule="auto"/>
        <w:jc w:val="both"/>
        <w:rPr>
          <w:sz w:val="24"/>
          <w:szCs w:val="24"/>
        </w:rPr>
      </w:pPr>
      <w:r w:rsidDel="00000000" w:rsidR="00000000" w:rsidRPr="00000000">
        <w:rPr>
          <w:sz w:val="24"/>
          <w:szCs w:val="24"/>
          <w:rtl w:val="0"/>
        </w:rPr>
        <w:t xml:space="preserve">This framework isn’t only widely applicable, as it has made the decision-making process transparent, but also directly addresses the problem of the black box, which has limited the use of machine learning in cardiology. </w:t>
      </w:r>
    </w:p>
    <w:p w:rsidR="00000000" w:rsidDel="00000000" w:rsidP="00000000" w:rsidRDefault="00000000" w:rsidRPr="00000000" w14:paraId="000000A1">
      <w:pPr>
        <w:spacing w:line="360" w:lineRule="auto"/>
        <w:jc w:val="both"/>
        <w:rPr>
          <w:sz w:val="24"/>
          <w:szCs w:val="24"/>
        </w:rPr>
      </w:pPr>
    </w:p>
    <w:p w:rsidR="00000000" w:rsidDel="00000000" w:rsidP="00000000" w:rsidRDefault="00000000" w:rsidRPr="00000000" w14:paraId="000000A2">
      <w:pPr>
        <w:spacing w:line="360" w:lineRule="auto"/>
        <w:jc w:val="both"/>
        <w:rPr>
          <w:sz w:val="32"/>
          <w:szCs w:val="32"/>
        </w:rPr>
      </w:pPr>
      <w:r w:rsidDel="00000000" w:rsidR="00000000" w:rsidRPr="00000000">
        <w:rPr>
          <w:b w:val="1"/>
          <w:bCs w:val="1"/>
          <w:sz w:val="32"/>
          <w:szCs w:val="32"/>
          <w:rtl w:val="0"/>
        </w:rPr>
        <w:t xml:space="preserve">References</w:t>
      </w:r>
      <w:r w:rsidDel="00000000" w:rsidR="00000000" w:rsidRPr="00000000">
        <w:rPr>
          <w:rtl w:val="0"/>
        </w:rPr>
      </w:r>
    </w:p>
    <w:p w:rsidR="00000000" w:rsidDel="00000000" w:rsidP="00000000" w:rsidRDefault="00000000" w:rsidRPr="00000000" w14:paraId="000000A3">
      <w:pPr>
        <w:widowControl w:val="0"/>
        <w:spacing w:line="360" w:lineRule="auto"/>
        <w:ind w:left="640"/>
        <w:jc w:val="both"/>
        <w:rPr>
          <w:sz w:val="24"/>
          <w:szCs w:val="24"/>
        </w:rPr>
      </w:pPr>
      <w:r w:rsidDel="00000000" w:rsidR="00000000" w:rsidRPr="00000000">
        <w:rPr>
          <w:sz w:val="24"/>
          <w:szCs w:val="24"/>
          <w:rtl w:val="0"/>
        </w:rPr>
        <w:t xml:space="preserve">[1]</w:t>
        <w:tab/>
        <w:t xml:space="preserve">WHO, “Cardiovascular diseases,” 2025. [Online]. Available: https://www.who.int/health-topics/cardiovascular-diseases#tab=tab_1</w:t>
      </w:r>
    </w:p>
    <w:p w:rsidR="00000000" w:rsidDel="00000000" w:rsidP="00000000" w:rsidRDefault="00000000" w:rsidRPr="00000000" w14:paraId="000000A4">
      <w:pPr>
        <w:widowControl w:val="0"/>
        <w:spacing w:line="360" w:lineRule="auto"/>
        <w:ind w:left="640"/>
        <w:jc w:val="both"/>
        <w:rPr>
          <w:sz w:val="24"/>
          <w:szCs w:val="24"/>
        </w:rPr>
      </w:pPr>
      <w:r w:rsidDel="00000000" w:rsidR="00000000" w:rsidRPr="00000000">
        <w:rPr>
          <w:sz w:val="24"/>
          <w:szCs w:val="24"/>
          <w:rtl w:val="0"/>
        </w:rPr>
        <w:t xml:space="preserve">[2]</w:t>
        <w:tab/>
        <w:t xml:space="preserve">V. Hassija </w:t>
      </w:r>
      <w:r w:rsidDel="00000000" w:rsidR="00000000" w:rsidRPr="00000000">
        <w:rPr>
          <w:i w:val="1"/>
          <w:iCs w:val="1"/>
          <w:sz w:val="24"/>
          <w:szCs w:val="24"/>
          <w:rtl w:val="0"/>
        </w:rPr>
        <w:t xml:space="preserve">et al.</w:t>
      </w:r>
      <w:r w:rsidDel="00000000" w:rsidR="00000000" w:rsidRPr="00000000">
        <w:rPr>
          <w:sz w:val="24"/>
          <w:szCs w:val="24"/>
          <w:rtl w:val="0"/>
        </w:rPr>
        <w:t xml:space="preserve">, “Interpreting Black-Box Models: A Review on Explainable Artificial Intelligence,” </w:t>
      </w:r>
      <w:r w:rsidDel="00000000" w:rsidR="00000000" w:rsidRPr="00000000">
        <w:rPr>
          <w:i w:val="1"/>
          <w:iCs w:val="1"/>
          <w:sz w:val="24"/>
          <w:szCs w:val="24"/>
          <w:rtl w:val="0"/>
        </w:rPr>
        <w:t xml:space="preserve">Cognit. Comput.</w:t>
      </w:r>
      <w:r w:rsidDel="00000000" w:rsidR="00000000" w:rsidRPr="00000000">
        <w:rPr>
          <w:sz w:val="24"/>
          <w:szCs w:val="24"/>
          <w:rtl w:val="0"/>
        </w:rPr>
        <w:t xml:space="preserve">, vol. 16, Aug. 2023, doi: 10.1007/s12559-023-10179-8.</w:t>
      </w:r>
    </w:p>
    <w:p w:rsidR="00000000" w:rsidDel="00000000" w:rsidP="00000000" w:rsidRDefault="00000000" w:rsidRPr="00000000" w14:paraId="000000A5">
      <w:pPr>
        <w:widowControl w:val="0"/>
        <w:spacing w:line="360" w:lineRule="auto"/>
        <w:ind w:left="640"/>
        <w:jc w:val="both"/>
        <w:rPr>
          <w:sz w:val="24"/>
          <w:szCs w:val="24"/>
        </w:rPr>
      </w:pPr>
      <w:r w:rsidDel="00000000" w:rsidR="00000000" w:rsidRPr="00000000">
        <w:rPr>
          <w:sz w:val="24"/>
          <w:szCs w:val="24"/>
          <w:rtl w:val="0"/>
        </w:rPr>
        <w:t xml:space="preserve">[3]</w:t>
        <w:tab/>
        <w:t xml:space="preserve">T. Banerjee and I. Pacal, “A systematic review of machine learning in heart disease prediction,” </w:t>
      </w:r>
      <w:r w:rsidDel="00000000" w:rsidR="00000000" w:rsidRPr="00000000">
        <w:rPr>
          <w:i w:val="1"/>
          <w:iCs w:val="1"/>
          <w:sz w:val="24"/>
          <w:szCs w:val="24"/>
          <w:rtl w:val="0"/>
        </w:rPr>
        <w:t xml:space="preserve">Turkish J. Biol.</w:t>
      </w:r>
      <w:r w:rsidDel="00000000" w:rsidR="00000000" w:rsidRPr="00000000">
        <w:rPr>
          <w:sz w:val="24"/>
          <w:szCs w:val="24"/>
          <w:rtl w:val="0"/>
        </w:rPr>
        <w:t xml:space="preserve">, vol. 49, pp. 600–634, Oct. 2025, doi: 10.55730/1300-0152.2766.</w:t>
      </w:r>
    </w:p>
    <w:p w:rsidR="00000000" w:rsidDel="00000000" w:rsidP="00000000" w:rsidRDefault="00000000" w:rsidRPr="00000000" w14:paraId="000000A6">
      <w:pPr>
        <w:widowControl w:val="0"/>
        <w:spacing w:line="360" w:lineRule="auto"/>
        <w:ind w:left="640"/>
        <w:jc w:val="both"/>
        <w:rPr>
          <w:sz w:val="24"/>
          <w:szCs w:val="24"/>
        </w:rPr>
      </w:pPr>
      <w:r w:rsidDel="00000000" w:rsidR="00000000" w:rsidRPr="00000000">
        <w:rPr>
          <w:sz w:val="24"/>
          <w:szCs w:val="24"/>
          <w:rtl w:val="0"/>
        </w:rPr>
        <w:t xml:space="preserve">[4]</w:t>
        <w:tab/>
        <w:t xml:space="preserve">M. Mujahid </w:t>
      </w:r>
      <w:r w:rsidDel="00000000" w:rsidR="00000000" w:rsidRPr="00000000">
        <w:rPr>
          <w:i w:val="1"/>
          <w:iCs w:val="1"/>
          <w:sz w:val="24"/>
          <w:szCs w:val="24"/>
          <w:rtl w:val="0"/>
        </w:rPr>
        <w:t xml:space="preserve">et al.</w:t>
      </w:r>
      <w:r w:rsidDel="00000000" w:rsidR="00000000" w:rsidRPr="00000000">
        <w:rPr>
          <w:sz w:val="24"/>
          <w:szCs w:val="24"/>
          <w:rtl w:val="0"/>
        </w:rPr>
        <w:t xml:space="preserve">, “Data oversampling and imbalanced datasets: an investigation of performance for machine learning and feature engineering,” </w:t>
      </w:r>
      <w:r w:rsidDel="00000000" w:rsidR="00000000" w:rsidRPr="00000000">
        <w:rPr>
          <w:i w:val="1"/>
          <w:iCs w:val="1"/>
          <w:sz w:val="24"/>
          <w:szCs w:val="24"/>
          <w:rtl w:val="0"/>
        </w:rPr>
        <w:t xml:space="preserve">J. Big Data</w:t>
      </w:r>
      <w:r w:rsidDel="00000000" w:rsidR="00000000" w:rsidRPr="00000000">
        <w:rPr>
          <w:sz w:val="24"/>
          <w:szCs w:val="24"/>
          <w:rtl w:val="0"/>
        </w:rPr>
        <w:t xml:space="preserve">, vol. 11, Jun. 2024, doi: 10.1186/s40537-024-00943-4.</w:t>
      </w:r>
    </w:p>
    <w:p w:rsidR="00000000" w:rsidDel="00000000" w:rsidP="00000000" w:rsidRDefault="00000000" w:rsidRPr="00000000" w14:paraId="000000A7">
      <w:pPr>
        <w:widowControl w:val="0"/>
        <w:spacing w:line="360" w:lineRule="auto"/>
        <w:ind w:left="640"/>
        <w:jc w:val="both"/>
        <w:rPr>
          <w:sz w:val="24"/>
          <w:szCs w:val="24"/>
        </w:rPr>
      </w:pPr>
      <w:r w:rsidDel="00000000" w:rsidR="00000000" w:rsidRPr="00000000">
        <w:rPr>
          <w:sz w:val="24"/>
          <w:szCs w:val="24"/>
          <w:rtl w:val="0"/>
        </w:rPr>
        <w:t xml:space="preserve">[5]</w:t>
        <w:tab/>
        <w:t xml:space="preserve">H. Ali, M. Salleh, R. Saedudin, K. Talpur, and M. Mushtaq, “Imbalance class problems in data mining: A review,” </w:t>
      </w:r>
      <w:r w:rsidDel="00000000" w:rsidR="00000000" w:rsidRPr="00000000">
        <w:rPr>
          <w:i w:val="1"/>
          <w:iCs w:val="1"/>
          <w:sz w:val="24"/>
          <w:szCs w:val="24"/>
          <w:rtl w:val="0"/>
        </w:rPr>
        <w:t xml:space="preserve">Indones. J. Electr. Eng. Comput. Sci.</w:t>
      </w:r>
      <w:r w:rsidDel="00000000" w:rsidR="00000000" w:rsidRPr="00000000">
        <w:rPr>
          <w:sz w:val="24"/>
          <w:szCs w:val="24"/>
          <w:rtl w:val="0"/>
        </w:rPr>
        <w:t xml:space="preserve">, vol. 14, Mar. 2019, doi: 10.11591/ijeecs.v14.i3.pp1552-1563.</w:t>
      </w:r>
    </w:p>
    <w:p w:rsidR="00000000" w:rsidDel="00000000" w:rsidP="00000000" w:rsidRDefault="00000000" w:rsidRPr="00000000" w14:paraId="000000A8">
      <w:pPr>
        <w:widowControl w:val="0"/>
        <w:spacing w:line="360" w:lineRule="auto"/>
        <w:ind w:left="640"/>
        <w:jc w:val="both"/>
        <w:rPr>
          <w:sz w:val="24"/>
          <w:szCs w:val="24"/>
        </w:rPr>
      </w:pPr>
      <w:r w:rsidDel="00000000" w:rsidR="00000000" w:rsidRPr="00000000">
        <w:rPr>
          <w:sz w:val="24"/>
          <w:szCs w:val="24"/>
          <w:rtl w:val="0"/>
        </w:rPr>
        <w:t xml:space="preserve">[6]</w:t>
        <w:tab/>
        <w:t xml:space="preserve">B. Practices, “Data Preprocessing and Feature Engineering for Data Mining :,” 2025, [Online]. Available: https://www.mdpi.com/2673-2688/6/10/257</w:t>
      </w:r>
    </w:p>
    <w:p w:rsidR="00000000" w:rsidDel="00000000" w:rsidP="00000000" w:rsidRDefault="00000000" w:rsidRPr="00000000" w14:paraId="000000A9">
      <w:pPr>
        <w:widowControl w:val="0"/>
        <w:spacing w:line="360" w:lineRule="auto"/>
        <w:ind w:left="640"/>
        <w:jc w:val="both"/>
        <w:rPr>
          <w:sz w:val="24"/>
          <w:szCs w:val="24"/>
        </w:rPr>
      </w:pPr>
      <w:r w:rsidDel="00000000" w:rsidR="00000000" w:rsidRPr="00000000">
        <w:rPr>
          <w:sz w:val="24"/>
          <w:szCs w:val="24"/>
          <w:rtl w:val="0"/>
        </w:rPr>
        <w:t xml:space="preserve">[7]</w:t>
        <w:tab/>
        <w:t xml:space="preserve">M. Azad, T. Nehal, and M. Moshkov, “A novel ensemble learning method using majority based voting of multiple selective decision trees,” </w:t>
      </w:r>
      <w:r w:rsidDel="00000000" w:rsidR="00000000" w:rsidRPr="00000000">
        <w:rPr>
          <w:i w:val="1"/>
          <w:iCs w:val="1"/>
          <w:sz w:val="24"/>
          <w:szCs w:val="24"/>
          <w:rtl w:val="0"/>
        </w:rPr>
        <w:t xml:space="preserve">Computing</w:t>
      </w:r>
      <w:r w:rsidDel="00000000" w:rsidR="00000000" w:rsidRPr="00000000">
        <w:rPr>
          <w:sz w:val="24"/>
          <w:szCs w:val="24"/>
          <w:rtl w:val="0"/>
        </w:rPr>
        <w:t xml:space="preserve">, vol. 107, Dec. 2024, doi: 10.1007/s00607-024-01394-8.</w:t>
      </w:r>
    </w:p>
    <w:p w:rsidR="00000000" w:rsidDel="00000000" w:rsidP="00000000" w:rsidRDefault="00000000" w:rsidRPr="00000000" w14:paraId="000000AA">
      <w:pPr>
        <w:widowControl w:val="0"/>
        <w:spacing w:line="360" w:lineRule="auto"/>
        <w:ind w:left="640"/>
        <w:jc w:val="both"/>
        <w:rPr>
          <w:sz w:val="24"/>
          <w:szCs w:val="24"/>
        </w:rPr>
      </w:pPr>
      <w:r w:rsidDel="00000000" w:rsidR="00000000" w:rsidRPr="00000000">
        <w:rPr>
          <w:sz w:val="24"/>
          <w:szCs w:val="24"/>
          <w:rtl w:val="0"/>
        </w:rPr>
        <w:t xml:space="preserve">[8]</w:t>
        <w:tab/>
        <w:t xml:space="preserve">A. A. Lamir, S. Razzagzadeh, and Z. Rezaei, “A Comprehensive Machine Learning Framework for Heart Disease Prediction: Performance Evaluation and Future Perspectives,” 2025, [Online]. Available: https://arxiv.org/pdf/2505.09969</w:t>
      </w:r>
    </w:p>
    <w:p w:rsidR="00000000" w:rsidDel="00000000" w:rsidP="00000000" w:rsidRDefault="00000000" w:rsidRPr="00000000" w14:paraId="000000AB">
      <w:pPr>
        <w:widowControl w:val="0"/>
        <w:spacing w:line="360" w:lineRule="auto"/>
        <w:ind w:left="640"/>
        <w:jc w:val="both"/>
        <w:rPr>
          <w:sz w:val="24"/>
          <w:szCs w:val="24"/>
        </w:rPr>
      </w:pPr>
      <w:r w:rsidDel="00000000" w:rsidR="00000000" w:rsidRPr="00000000">
        <w:rPr>
          <w:sz w:val="24"/>
          <w:szCs w:val="24"/>
          <w:rtl w:val="0"/>
        </w:rPr>
        <w:t xml:space="preserve">[9]</w:t>
        <w:tab/>
        <w:t xml:space="preserve">A. Fernández, S. Garcia, F. Herrera, and N. Chawla, “SMOTE for Learning from Imbalanced Data: Progress and Challenges, Marking the 15-year Anniversary,” </w:t>
      </w:r>
      <w:r w:rsidDel="00000000" w:rsidR="00000000" w:rsidRPr="00000000">
        <w:rPr>
          <w:i w:val="1"/>
          <w:iCs w:val="1"/>
          <w:sz w:val="24"/>
          <w:szCs w:val="24"/>
          <w:rtl w:val="0"/>
        </w:rPr>
        <w:t xml:space="preserve">J. Artif. Intell. Res.</w:t>
      </w:r>
      <w:r w:rsidDel="00000000" w:rsidR="00000000" w:rsidRPr="00000000">
        <w:rPr>
          <w:sz w:val="24"/>
          <w:szCs w:val="24"/>
          <w:rtl w:val="0"/>
        </w:rPr>
        <w:t xml:space="preserve">, vol. 61, pp. 863–905, Apr. 2018, doi: 10.1613/jair.1.11192.</w:t>
      </w:r>
    </w:p>
    <w:p w:rsidR="00000000" w:rsidDel="00000000" w:rsidP="00000000" w:rsidRDefault="00000000" w:rsidRPr="00000000" w14:paraId="000000AC">
      <w:pPr>
        <w:widowControl w:val="0"/>
        <w:spacing w:line="360" w:lineRule="auto"/>
        <w:ind w:left="640"/>
        <w:jc w:val="both"/>
        <w:rPr>
          <w:sz w:val="24"/>
          <w:szCs w:val="24"/>
        </w:rPr>
      </w:pPr>
      <w:r w:rsidDel="00000000" w:rsidR="00000000" w:rsidRPr="00000000">
        <w:rPr>
          <w:sz w:val="24"/>
          <w:szCs w:val="24"/>
          <w:rtl w:val="0"/>
        </w:rPr>
        <w:t xml:space="preserve">[10]</w:t>
        <w:tab/>
        <w:t xml:space="preserve">P. Netayawijit, W. Chansanam, and K. Sorn-In, “Interpretable Machine Learning Framework for Diabetes Prediction: Integrating SMOTE Balancing with SHAP Explainability for Clinical Decision Support.,” </w:t>
      </w:r>
      <w:r w:rsidDel="00000000" w:rsidR="00000000" w:rsidRPr="00000000">
        <w:rPr>
          <w:i w:val="1"/>
          <w:iCs w:val="1"/>
          <w:sz w:val="24"/>
          <w:szCs w:val="24"/>
          <w:rtl w:val="0"/>
        </w:rPr>
        <w:t xml:space="preserve">Healthc. (Basel, Switzerland)</w:t>
      </w:r>
      <w:r w:rsidDel="00000000" w:rsidR="00000000" w:rsidRPr="00000000">
        <w:rPr>
          <w:sz w:val="24"/>
          <w:szCs w:val="24"/>
          <w:rtl w:val="0"/>
        </w:rPr>
        <w:t xml:space="preserve">, vol. 13, no. 20, Oct. 2025, doi: 10.3390/healthcare13202588.</w:t>
      </w:r>
    </w:p>
    <w:p w:rsidR="00000000" w:rsidDel="00000000" w:rsidP="00000000" w:rsidRDefault="00000000" w:rsidRPr="00000000" w14:paraId="000000AD">
      <w:pPr>
        <w:widowControl w:val="0"/>
        <w:spacing w:line="360" w:lineRule="auto"/>
        <w:ind w:left="640"/>
        <w:jc w:val="both"/>
        <w:rPr>
          <w:sz w:val="24"/>
          <w:szCs w:val="24"/>
        </w:rPr>
      </w:pPr>
      <w:r w:rsidDel="00000000" w:rsidR="00000000" w:rsidRPr="00000000">
        <w:rPr>
          <w:sz w:val="24"/>
          <w:szCs w:val="24"/>
          <w:rtl w:val="0"/>
        </w:rPr>
        <w:t xml:space="preserve">[11]</w:t>
        <w:tab/>
        <w:t xml:space="preserve">S. Yadav, “SMOTE in Predictive Modeling: A Comprehensive Evaluation of Synthetic Oversampling for Class Imbalance,” </w:t>
      </w:r>
      <w:r w:rsidDel="00000000" w:rsidR="00000000" w:rsidRPr="00000000">
        <w:rPr>
          <w:i w:val="1"/>
          <w:iCs w:val="1"/>
          <w:sz w:val="24"/>
          <w:szCs w:val="24"/>
          <w:rtl w:val="0"/>
        </w:rPr>
        <w:t xml:space="preserve">Int. J. Innov. Res. Eng. Multidiscip. Phys. Sci.</w:t>
      </w:r>
      <w:r w:rsidDel="00000000" w:rsidR="00000000" w:rsidRPr="00000000">
        <w:rPr>
          <w:sz w:val="24"/>
          <w:szCs w:val="24"/>
          <w:rtl w:val="0"/>
        </w:rPr>
        <w:t xml:space="preserve">, vol. 8, Aug. 2020, doi: 10.5281/zenodo.14259555.</w:t>
      </w:r>
    </w:p>
    <w:p w:rsidR="00000000" w:rsidDel="00000000" w:rsidP="00000000" w:rsidRDefault="00000000" w:rsidRPr="00000000" w14:paraId="000000AE">
      <w:pPr>
        <w:widowControl w:val="0"/>
        <w:spacing w:line="360" w:lineRule="auto"/>
        <w:ind w:left="640"/>
        <w:jc w:val="both"/>
        <w:rPr>
          <w:sz w:val="24"/>
          <w:szCs w:val="24"/>
        </w:rPr>
      </w:pPr>
      <w:r w:rsidDel="00000000" w:rsidR="00000000" w:rsidRPr="00000000">
        <w:rPr>
          <w:sz w:val="24"/>
          <w:szCs w:val="24"/>
          <w:rtl w:val="0"/>
        </w:rPr>
        <w:t xml:space="preserve">[12]</w:t>
        <w:tab/>
        <w:t xml:space="preserve">J. Y. Kim, “Improving appendix cancer prediction with SHAP-based feature engineering for machine learning models: a prediction study.,” </w:t>
      </w:r>
      <w:r w:rsidDel="00000000" w:rsidR="00000000" w:rsidRPr="00000000">
        <w:rPr>
          <w:i w:val="1"/>
          <w:iCs w:val="1"/>
          <w:sz w:val="24"/>
          <w:szCs w:val="24"/>
          <w:rtl w:val="0"/>
        </w:rPr>
        <w:t xml:space="preserve">Ewha Med. J.</w:t>
      </w:r>
      <w:r w:rsidDel="00000000" w:rsidR="00000000" w:rsidRPr="00000000">
        <w:rPr>
          <w:sz w:val="24"/>
          <w:szCs w:val="24"/>
          <w:rtl w:val="0"/>
        </w:rPr>
        <w:t xml:space="preserve">, vol. 48, no. 2, p. E31, Apr. 2025, doi: 10.12771/emj.2025.00297.</w:t>
      </w:r>
    </w:p>
    <w:p w:rsidR="00000000" w:rsidDel="00000000" w:rsidP="00000000" w:rsidRDefault="00000000" w:rsidRPr="00000000" w14:paraId="000000AF">
      <w:pPr>
        <w:widowControl w:val="0"/>
        <w:spacing w:line="360" w:lineRule="auto"/>
        <w:ind w:left="640"/>
        <w:jc w:val="both"/>
        <w:rPr>
          <w:sz w:val="24"/>
          <w:szCs w:val="24"/>
        </w:rPr>
      </w:pPr>
      <w:r w:rsidDel="00000000" w:rsidR="00000000" w:rsidRPr="00000000">
        <w:rPr>
          <w:sz w:val="24"/>
          <w:szCs w:val="24"/>
          <w:rtl w:val="0"/>
        </w:rPr>
        <w:t xml:space="preserve">[13]</w:t>
        <w:tab/>
        <w:t xml:space="preserve">M. Ribeiro, S. Singh, and C. Guestrin, “Nothing Else Matters: Model-Agnostic Explanations By Identifying Prediction Invariance,” Nov. 2016, doi: 10.48550/arxiv.1611.05817.</w:t>
      </w:r>
    </w:p>
    <w:p w:rsidR="00000000" w:rsidDel="00000000" w:rsidP="00000000" w:rsidRDefault="00000000" w:rsidRPr="00000000" w14:paraId="000000B0">
      <w:pPr>
        <w:widowControl w:val="0"/>
        <w:spacing w:line="360" w:lineRule="auto"/>
        <w:ind w:left="640"/>
        <w:jc w:val="both"/>
        <w:rPr>
          <w:sz w:val="24"/>
          <w:szCs w:val="24"/>
        </w:rPr>
      </w:pPr>
      <w:r w:rsidDel="00000000" w:rsidR="00000000" w:rsidRPr="00000000">
        <w:rPr>
          <w:sz w:val="24"/>
          <w:szCs w:val="24"/>
          <w:rtl w:val="0"/>
        </w:rPr>
        <w:t xml:space="preserve">[14]</w:t>
        <w:tab/>
        <w:t xml:space="preserve">S. Repetto, I. Maljkovic, M. Lotto, A. Cinà, S. Vascon, and F. Roli, “Evaluating the robustness of explainable AI in medical image recognition under natural and adversarial data corruption,” </w:t>
      </w:r>
      <w:r w:rsidDel="00000000" w:rsidR="00000000" w:rsidRPr="00000000">
        <w:rPr>
          <w:i w:val="1"/>
          <w:iCs w:val="1"/>
          <w:sz w:val="24"/>
          <w:szCs w:val="24"/>
          <w:rtl w:val="0"/>
        </w:rPr>
        <w:t xml:space="preserve">Mach. Learn.</w:t>
      </w:r>
      <w:r w:rsidDel="00000000" w:rsidR="00000000" w:rsidRPr="00000000">
        <w:rPr>
          <w:sz w:val="24"/>
          <w:szCs w:val="24"/>
          <w:rtl w:val="0"/>
        </w:rPr>
        <w:t xml:space="preserve">, vol. 115, Dec. 2025, doi: 10.1007/s10994-025-06919-6.</w:t>
      </w:r>
    </w:p>
    <w:p w:rsidR="00000000" w:rsidDel="00000000" w:rsidP="00000000" w:rsidRDefault="00000000" w:rsidRPr="00000000" w14:paraId="000000B1">
      <w:pPr>
        <w:widowControl w:val="0"/>
        <w:spacing w:line="360" w:lineRule="auto"/>
        <w:ind w:left="640"/>
        <w:jc w:val="both"/>
        <w:rPr>
          <w:sz w:val="24"/>
          <w:szCs w:val="24"/>
        </w:rPr>
      </w:pPr>
      <w:r w:rsidDel="00000000" w:rsidR="00000000" w:rsidRPr="00000000">
        <w:rPr>
          <w:sz w:val="24"/>
          <w:szCs w:val="24"/>
          <w:rtl w:val="0"/>
        </w:rPr>
        <w:t xml:space="preserve">[15]</w:t>
        <w:tab/>
        <w:t xml:space="preserve">N. Uddin, P. Mahmud, M. Ahammed, M. A. Uddin, M. Kazi, and M. A. Talukder, “Explainable ensemble learning model for cardiovascular disease prediction with feature optimization and data balancing,” </w:t>
      </w:r>
      <w:r w:rsidDel="00000000" w:rsidR="00000000" w:rsidRPr="00000000">
        <w:rPr>
          <w:i w:val="1"/>
          <w:iCs w:val="1"/>
          <w:sz w:val="24"/>
          <w:szCs w:val="24"/>
          <w:rtl w:val="0"/>
        </w:rPr>
        <w:t xml:space="preserve">Discov. Comput.</w:t>
      </w:r>
      <w:r w:rsidDel="00000000" w:rsidR="00000000" w:rsidRPr="00000000">
        <w:rPr>
          <w:sz w:val="24"/>
          <w:szCs w:val="24"/>
          <w:rtl w:val="0"/>
        </w:rPr>
        <w:t xml:space="preserve">, vol. 29, Jan. 2026, doi: 10.1007/s10791-026-09930-0.</w:t>
      </w:r>
    </w:p>
    <w:p w:rsidR="00000000" w:rsidDel="00000000" w:rsidP="00000000" w:rsidRDefault="00000000" w:rsidRPr="00000000" w14:paraId="000000B2">
      <w:pPr>
        <w:widowControl w:val="0"/>
        <w:spacing w:line="360" w:lineRule="auto"/>
        <w:ind w:left="640"/>
        <w:jc w:val="both"/>
        <w:rPr>
          <w:sz w:val="24"/>
          <w:szCs w:val="24"/>
        </w:rPr>
      </w:pPr>
      <w:r w:rsidDel="00000000" w:rsidR="00000000" w:rsidRPr="00000000">
        <w:rPr>
          <w:sz w:val="24"/>
          <w:szCs w:val="24"/>
          <w:rtl w:val="0"/>
        </w:rPr>
        <w:t xml:space="preserve">[16]</w:t>
        <w:tab/>
        <w:t xml:space="preserve">H. El-Sofany, B. Bouallegue, and Y. Abd El-Latif, “A proposed technique for predicting heart disease using machine learning algorithms and an explainable AI method,” </w:t>
      </w:r>
      <w:r w:rsidDel="00000000" w:rsidR="00000000" w:rsidRPr="00000000">
        <w:rPr>
          <w:i w:val="1"/>
          <w:iCs w:val="1"/>
          <w:sz w:val="24"/>
          <w:szCs w:val="24"/>
          <w:rtl w:val="0"/>
        </w:rPr>
        <w:t xml:space="preserve">Sci. Rep.</w:t>
      </w:r>
      <w:r w:rsidDel="00000000" w:rsidR="00000000" w:rsidRPr="00000000">
        <w:rPr>
          <w:sz w:val="24"/>
          <w:szCs w:val="24"/>
          <w:rtl w:val="0"/>
        </w:rPr>
        <w:t xml:space="preserve">, vol. 14, Oct. 2024, doi: 10.1038/s41598-024-74656-2.</w:t>
      </w:r>
    </w:p>
    <w:p w:rsidR="00000000" w:rsidDel="00000000" w:rsidP="00000000" w:rsidRDefault="00000000" w:rsidRPr="00000000" w14:paraId="000000B3">
      <w:pPr>
        <w:widowControl w:val="0"/>
        <w:spacing w:line="360" w:lineRule="auto"/>
        <w:ind w:left="640"/>
        <w:jc w:val="both"/>
        <w:rPr>
          <w:sz w:val="24"/>
          <w:szCs w:val="24"/>
        </w:rPr>
      </w:pPr>
      <w:r w:rsidDel="00000000" w:rsidR="00000000" w:rsidRPr="00000000">
        <w:rPr>
          <w:sz w:val="24"/>
          <w:szCs w:val="24"/>
          <w:rtl w:val="0"/>
        </w:rPr>
        <w:t xml:space="preserve">[17]</w:t>
        <w:tab/>
        <w:t xml:space="preserve">T. Sutanto, M. Aditya, H. Budiman, M. R. Ridha, U. Syapotro, and N. Azijah, “Comparison of Logistic Regression, Random Forest, SVM, KNN Algorithm for Water Quality Classification Based on Contaminant Parameters,” </w:t>
      </w:r>
      <w:r w:rsidDel="00000000" w:rsidR="00000000" w:rsidRPr="00000000">
        <w:rPr>
          <w:i w:val="1"/>
          <w:iCs w:val="1"/>
          <w:sz w:val="24"/>
          <w:szCs w:val="24"/>
          <w:rtl w:val="0"/>
        </w:rPr>
        <w:t xml:space="preserve">INTI J.</w:t>
      </w:r>
      <w:r w:rsidDel="00000000" w:rsidR="00000000" w:rsidRPr="00000000">
        <w:rPr>
          <w:sz w:val="24"/>
          <w:szCs w:val="24"/>
          <w:rtl w:val="0"/>
        </w:rPr>
        <w:t xml:space="preserve">, vol. 2022, Nov. 2024, doi: 10.61453/jods.v2023no48.</w:t>
      </w:r>
    </w:p>
    <w:p w:rsidR="00000000" w:rsidDel="00000000" w:rsidP="00000000" w:rsidRDefault="00000000" w:rsidRPr="00000000" w14:paraId="000000B4">
      <w:pPr>
        <w:widowControl w:val="0"/>
        <w:spacing w:line="360" w:lineRule="auto"/>
        <w:ind w:left="640"/>
        <w:jc w:val="both"/>
        <w:rPr>
          <w:sz w:val="24"/>
          <w:szCs w:val="24"/>
        </w:rPr>
      </w:pPr>
      <w:r w:rsidDel="00000000" w:rsidR="00000000" w:rsidRPr="00000000">
        <w:rPr>
          <w:sz w:val="24"/>
          <w:szCs w:val="24"/>
          <w:rtl w:val="0"/>
        </w:rPr>
        <w:t xml:space="preserve">[18]</w:t>
        <w:tab/>
        <w:t xml:space="preserve">N. Desai, “Predicting Heart Attack Risk: A CRISP-DM Approach | by Neel Desai | Medium,” 2022. [Online]. Available: https://medium.com/@neel26d/predicting-heart-attack-risk-a-crisp-dm-approach-f4d66a120a10</w:t>
      </w:r>
    </w:p>
    <w:p w:rsidR="00000000" w:rsidDel="00000000" w:rsidP="00000000" w:rsidRDefault="00000000" w:rsidRPr="00000000" w14:paraId="000000B5">
      <w:pPr>
        <w:widowControl w:val="0"/>
        <w:spacing w:line="360" w:lineRule="auto"/>
        <w:ind w:left="640"/>
        <w:jc w:val="both"/>
        <w:rPr>
          <w:sz w:val="24"/>
          <w:szCs w:val="24"/>
        </w:rPr>
      </w:pPr>
      <w:r w:rsidDel="00000000" w:rsidR="00000000" w:rsidRPr="00000000">
        <w:rPr>
          <w:sz w:val="24"/>
          <w:szCs w:val="24"/>
          <w:rtl w:val="0"/>
        </w:rPr>
        <w:t xml:space="preserve">[19]</w:t>
        <w:tab/>
        <w:t xml:space="preserve">N. Absar </w:t>
      </w:r>
      <w:r w:rsidDel="00000000" w:rsidR="00000000" w:rsidRPr="00000000">
        <w:rPr>
          <w:i w:val="1"/>
          <w:iCs w:val="1"/>
          <w:sz w:val="24"/>
          <w:szCs w:val="24"/>
          <w:rtl w:val="0"/>
        </w:rPr>
        <w:t xml:space="preserve">et al.</w:t>
      </w:r>
      <w:r w:rsidDel="00000000" w:rsidR="00000000" w:rsidRPr="00000000">
        <w:rPr>
          <w:sz w:val="24"/>
          <w:szCs w:val="24"/>
          <w:rtl w:val="0"/>
        </w:rPr>
        <w:t xml:space="preserve">, “The Efficacy of Machine-Learning-Supported Smart System for Heart Disease Prediction,” </w:t>
      </w:r>
      <w:r w:rsidDel="00000000" w:rsidR="00000000" w:rsidRPr="00000000">
        <w:rPr>
          <w:i w:val="1"/>
          <w:iCs w:val="1"/>
          <w:sz w:val="24"/>
          <w:szCs w:val="24"/>
          <w:rtl w:val="0"/>
        </w:rPr>
        <w:t xml:space="preserve">Healthcare</w:t>
      </w:r>
      <w:r w:rsidDel="00000000" w:rsidR="00000000" w:rsidRPr="00000000">
        <w:rPr>
          <w:sz w:val="24"/>
          <w:szCs w:val="24"/>
          <w:rtl w:val="0"/>
        </w:rPr>
        <w:t xml:space="preserve">, vol. 10, p. 1137, Jun. 2022, doi: 10.3390/healthcare10061137.</w:t>
      </w:r>
    </w:p>
    <w:p w:rsidR="00000000" w:rsidDel="00000000" w:rsidP="00000000" w:rsidRDefault="00000000" w:rsidRPr="00000000" w14:paraId="000000B6">
      <w:pPr>
        <w:widowControl w:val="0"/>
        <w:spacing w:line="360" w:lineRule="auto"/>
        <w:ind w:left="640"/>
        <w:jc w:val="both"/>
        <w:rPr>
          <w:sz w:val="24"/>
          <w:szCs w:val="24"/>
        </w:rPr>
      </w:pPr>
      <w:r w:rsidDel="00000000" w:rsidR="00000000" w:rsidRPr="00000000">
        <w:rPr>
          <w:sz w:val="24"/>
          <w:szCs w:val="24"/>
          <w:rtl w:val="0"/>
        </w:rPr>
        <w:t xml:space="preserve">[20]</w:t>
        <w:tab/>
        <w:t xml:space="preserve">R. Kalita, “Data Preprocessing and Missing Data Handling for Predicting High School Academic Outcomes,” </w:t>
      </w:r>
      <w:r w:rsidDel="00000000" w:rsidR="00000000" w:rsidRPr="00000000">
        <w:rPr>
          <w:i w:val="1"/>
          <w:iCs w:val="1"/>
          <w:sz w:val="24"/>
          <w:szCs w:val="24"/>
          <w:rtl w:val="0"/>
        </w:rPr>
        <w:t xml:space="preserve">Int. J. Adv. SIGNAL IMAGE Sci.</w:t>
      </w:r>
      <w:r w:rsidDel="00000000" w:rsidR="00000000" w:rsidRPr="00000000">
        <w:rPr>
          <w:sz w:val="24"/>
          <w:szCs w:val="24"/>
          <w:rtl w:val="0"/>
        </w:rPr>
        <w:t xml:space="preserve">, vol. 12, pp. 1762–1768, Feb. 2026, doi: 10.29284/ez70m895.</w:t>
      </w:r>
    </w:p>
    <w:p w:rsidR="00000000" w:rsidDel="00000000" w:rsidP="00000000" w:rsidRDefault="00000000" w:rsidRPr="00000000" w14:paraId="000000B7">
      <w:pPr>
        <w:widowControl w:val="0"/>
        <w:spacing w:line="360" w:lineRule="auto"/>
        <w:ind w:left="640"/>
        <w:jc w:val="both"/>
        <w:rPr>
          <w:sz w:val="24"/>
          <w:szCs w:val="24"/>
        </w:rPr>
      </w:pPr>
      <w:r w:rsidDel="00000000" w:rsidR="00000000" w:rsidRPr="00000000">
        <w:rPr>
          <w:sz w:val="24"/>
          <w:szCs w:val="24"/>
          <w:rtl w:val="0"/>
        </w:rPr>
        <w:t xml:space="preserve">[21]</w:t>
        <w:tab/>
        <w:t xml:space="preserve">M. T R, V. V. Kumar, D. Venkatesan, O. Geman, M. Margala, and M. Guduri, “The stratified K-folds cross-validation and class-balancing methods with high-performance ensemble classifiers for breast cancer classification,”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4, p. 100247, Sep. 2023, doi: 10.1016/j.health.2023.100247.</w:t>
      </w:r>
    </w:p>
    <w:p w:rsidR="00000000" w:rsidDel="00000000" w:rsidP="00000000" w:rsidRDefault="00000000" w:rsidRPr="00000000" w14:paraId="000000B8">
      <w:pPr>
        <w:widowControl w:val="0"/>
        <w:spacing w:line="360" w:lineRule="auto"/>
        <w:ind w:left="640"/>
        <w:jc w:val="both"/>
        <w:rPr>
          <w:sz w:val="24"/>
          <w:szCs w:val="24"/>
        </w:rPr>
      </w:pPr>
      <w:r w:rsidDel="00000000" w:rsidR="00000000" w:rsidRPr="00000000">
        <w:rPr>
          <w:sz w:val="24"/>
          <w:szCs w:val="24"/>
          <w:rtl w:val="0"/>
        </w:rPr>
        <w:t xml:space="preserve">[22]</w:t>
        <w:tab/>
        <w:t xml:space="preserve">G. Tzionis, G. Kougka, I. Gialampoukidis, S. Vrochidis, I. Kompatsiaris, and M. Vlachopoulou, “Enhancing Robustness in Feature Importance Methods with NAFIC and CESHAP for Improved Interpretability,” </w:t>
      </w:r>
      <w:r w:rsidDel="00000000" w:rsidR="00000000" w:rsidRPr="00000000">
        <w:rPr>
          <w:i w:val="1"/>
          <w:iCs w:val="1"/>
          <w:sz w:val="24"/>
          <w:szCs w:val="24"/>
          <w:rtl w:val="0"/>
        </w:rPr>
        <w:t xml:space="preserve">Appl. Artif. Intell.</w:t>
      </w:r>
      <w:r w:rsidDel="00000000" w:rsidR="00000000" w:rsidRPr="00000000">
        <w:rPr>
          <w:sz w:val="24"/>
          <w:szCs w:val="24"/>
          <w:rtl w:val="0"/>
        </w:rPr>
        <w:t xml:space="preserve">, vol. 39, Jun. 2025, doi: 10.1080/08839514.2025.2515062.</w:t>
      </w:r>
    </w:p>
    <w:p w:rsidR="00000000" w:rsidDel="00000000" w:rsidP="00000000" w:rsidRDefault="00000000" w:rsidRPr="00000000" w14:paraId="000000B9">
      <w:pPr>
        <w:widowControl w:val="0"/>
        <w:spacing w:line="360" w:lineRule="auto"/>
        <w:ind w:left="640"/>
        <w:jc w:val="both"/>
        <w:rPr>
          <w:sz w:val="24"/>
          <w:szCs w:val="24"/>
        </w:rPr>
      </w:pPr>
      <w:r w:rsidDel="00000000" w:rsidR="00000000" w:rsidRPr="00000000">
        <w:rPr>
          <w:sz w:val="24"/>
          <w:szCs w:val="24"/>
          <w:rtl w:val="0"/>
        </w:rPr>
        <w:t xml:space="preserve">[23]</w:t>
        <w:tab/>
        <w:t xml:space="preserve">O. Ozdemir, “Explainable AI (XAI) in Healthcare: Bridging the Gap between Accuracy and Interpretability,” </w:t>
      </w:r>
      <w:r w:rsidDel="00000000" w:rsidR="00000000" w:rsidRPr="00000000">
        <w:rPr>
          <w:i w:val="1"/>
          <w:iCs w:val="1"/>
          <w:sz w:val="24"/>
          <w:szCs w:val="24"/>
          <w:rtl w:val="0"/>
        </w:rPr>
        <w:t xml:space="preserve">J. Sci. Technol. Eng. Res.</w:t>
      </w:r>
      <w:r w:rsidDel="00000000" w:rsidR="00000000" w:rsidRPr="00000000">
        <w:rPr>
          <w:sz w:val="24"/>
          <w:szCs w:val="24"/>
          <w:rtl w:val="0"/>
        </w:rPr>
        <w:t xml:space="preserve">, vol. 1, pp. 32–44, Jun. 2024, doi: 10.64206/0z78ev10.</w:t>
      </w:r>
    </w:p>
    <w:p w:rsidR="00000000" w:rsidDel="00000000" w:rsidP="00000000" w:rsidRDefault="00000000" w:rsidRPr="00000000" w14:paraId="000000BA">
      <w:pPr>
        <w:widowControl w:val="0"/>
        <w:spacing w:line="360" w:lineRule="auto"/>
        <w:ind w:left="640"/>
        <w:jc w:val="both"/>
        <w:rPr>
          <w:sz w:val="24"/>
          <w:szCs w:val="24"/>
        </w:rPr>
      </w:pPr>
      <w:r w:rsidDel="00000000" w:rsidR="00000000" w:rsidRPr="00000000">
        <w:rPr>
          <w:sz w:val="24"/>
          <w:szCs w:val="24"/>
          <w:rtl w:val="0"/>
        </w:rPr>
        <w:t xml:space="preserve">[24]</w:t>
        <w:tab/>
        <w:t xml:space="preserve">E. Sony </w:t>
      </w:r>
      <w:r w:rsidDel="00000000" w:rsidR="00000000" w:rsidRPr="00000000">
        <w:rPr>
          <w:i w:val="1"/>
          <w:iCs w:val="1"/>
          <w:sz w:val="24"/>
          <w:szCs w:val="24"/>
          <w:rtl w:val="0"/>
        </w:rPr>
        <w:t xml:space="preserve">et al.</w:t>
      </w:r>
      <w:r w:rsidDel="00000000" w:rsidR="00000000" w:rsidRPr="00000000">
        <w:rPr>
          <w:sz w:val="24"/>
          <w:szCs w:val="24"/>
          <w:rtl w:val="0"/>
        </w:rPr>
        <w:t xml:space="preserve">, “Ethical Standards in Research: A Professional Imperative,” pp. 94–104, Feb. 2025, doi: 10.5281/zenodo.14875237.</w:t>
      </w:r>
    </w:p>
    <w:p w:rsidR="00000000" w:rsidDel="00000000" w:rsidP="00000000" w:rsidRDefault="00000000" w:rsidRPr="00000000" w14:paraId="000000BB">
      <w:pPr>
        <w:widowControl w:val="0"/>
        <w:spacing w:line="360" w:lineRule="auto"/>
        <w:ind w:left="640"/>
        <w:jc w:val="both"/>
        <w:rPr>
          <w:sz w:val="24"/>
          <w:szCs w:val="24"/>
        </w:rPr>
      </w:pPr>
      <w:r w:rsidDel="00000000" w:rsidR="00000000" w:rsidRPr="00000000">
        <w:rPr>
          <w:sz w:val="24"/>
          <w:szCs w:val="24"/>
          <w:rtl w:val="0"/>
        </w:rPr>
        <w:t xml:space="preserve">[25]</w:t>
        <w:tab/>
        <w:t xml:space="preserve">A. Nastoska, B. Jancheska, M. Rizinski, and D. Trajanov, “Evaluating Trustworthiness in AI: Risks, Metrics, and Applications Across Industries,” </w:t>
      </w:r>
      <w:r w:rsidDel="00000000" w:rsidR="00000000" w:rsidRPr="00000000">
        <w:rPr>
          <w:i w:val="1"/>
          <w:iCs w:val="1"/>
          <w:sz w:val="24"/>
          <w:szCs w:val="24"/>
          <w:rtl w:val="0"/>
        </w:rPr>
        <w:t xml:space="preserve">Electronics</w:t>
      </w:r>
      <w:r w:rsidDel="00000000" w:rsidR="00000000" w:rsidRPr="00000000">
        <w:rPr>
          <w:sz w:val="24"/>
          <w:szCs w:val="24"/>
          <w:rtl w:val="0"/>
        </w:rPr>
        <w:t xml:space="preserve">, vol. 14, p. 2717, Jul. 2025, doi: 10.3390/electronics14132717.</w:t>
      </w:r>
    </w:p>
    <w:p w:rsidR="00000000" w:rsidDel="00000000" w:rsidP="00000000" w:rsidRDefault="00000000" w:rsidRPr="00000000" w14:paraId="000000BC">
      <w:pPr>
        <w:widowControl w:val="0"/>
        <w:spacing w:line="360" w:lineRule="auto"/>
        <w:ind w:left="640"/>
        <w:jc w:val="both"/>
        <w:rPr>
          <w:sz w:val="24"/>
          <w:szCs w:val="24"/>
        </w:rPr>
      </w:pPr>
      <w:r w:rsidDel="00000000" w:rsidR="00000000" w:rsidRPr="00000000">
        <w:rPr>
          <w:sz w:val="24"/>
          <w:szCs w:val="24"/>
          <w:rtl w:val="0"/>
        </w:rPr>
        <w:t xml:space="preserve">[26]</w:t>
        <w:tab/>
        <w:t xml:space="preserve">S. Ahmed, M. S. Kaiser, M. Hossain, and K. Andersson, “A Comparative Analysis of LIME and SHAP Interpreters with Explainable ML-Based Diabetes Predictions,” </w:t>
      </w:r>
      <w:r w:rsidDel="00000000" w:rsidR="00000000" w:rsidRPr="00000000">
        <w:rPr>
          <w:i w:val="1"/>
          <w:iCs w:val="1"/>
          <w:sz w:val="24"/>
          <w:szCs w:val="24"/>
          <w:rtl w:val="0"/>
        </w:rPr>
        <w:t xml:space="preserve">IEEE Access</w:t>
      </w:r>
      <w:r w:rsidDel="00000000" w:rsidR="00000000" w:rsidRPr="00000000">
        <w:rPr>
          <w:sz w:val="24"/>
          <w:szCs w:val="24"/>
          <w:rtl w:val="0"/>
        </w:rPr>
        <w:t xml:space="preserve">, vol. PP, p. 1, Jan. 2024, doi: 10.1109/ACCESS.2024.3422319.</w:t>
      </w:r>
    </w:p>
    <w:p w:rsidR="00000000" w:rsidDel="00000000" w:rsidP="00000000" w:rsidRDefault="00000000" w:rsidRPr="00000000" w14:paraId="000000BD">
      <w:pPr>
        <w:widowControl w:val="0"/>
        <w:spacing w:line="360" w:lineRule="auto"/>
        <w:ind w:left="640"/>
        <w:jc w:val="both"/>
        <w:rPr>
          <w:sz w:val="24"/>
          <w:szCs w:val="24"/>
        </w:rPr>
      </w:pPr>
      <w:r w:rsidDel="00000000" w:rsidR="00000000" w:rsidRPr="00000000">
        <w:rPr>
          <w:sz w:val="24"/>
          <w:szCs w:val="24"/>
          <w:rtl w:val="0"/>
        </w:rPr>
        <w:t xml:space="preserve">[27]</w:t>
        <w:tab/>
        <w:t xml:space="preserve">M. Martinovi, “Comparative Analysis of Machine Learning Models for Predicting Innovation Outcomes : An Applied AI Approach,” no. Ml, pp. 1–44, 2025, [Online]. Available: https://www.mdpi.com/2076-3417/15/7/3636</w:t>
      </w:r>
    </w:p>
    <w:p w:rsidR="00000000" w:rsidDel="00000000" w:rsidP="00000000" w:rsidRDefault="00000000" w:rsidRPr="00000000" w14:paraId="000000BE">
      <w:pPr>
        <w:widowControl w:val="0"/>
        <w:spacing w:line="360" w:lineRule="auto"/>
        <w:ind w:left="640"/>
        <w:jc w:val="both"/>
        <w:rPr>
          <w:sz w:val="24"/>
          <w:szCs w:val="24"/>
        </w:rPr>
      </w:pPr>
      <w:r w:rsidDel="00000000" w:rsidR="00000000" w:rsidRPr="00000000">
        <w:rPr>
          <w:sz w:val="24"/>
          <w:szCs w:val="24"/>
          <w:rtl w:val="0"/>
        </w:rPr>
        <w:t xml:space="preserve">[28]</w:t>
        <w:tab/>
        <w:t xml:space="preserve">A. P. Majeed </w:t>
      </w:r>
      <w:r w:rsidDel="00000000" w:rsidR="00000000" w:rsidRPr="00000000">
        <w:rPr>
          <w:i w:val="1"/>
          <w:iCs w:val="1"/>
          <w:sz w:val="24"/>
          <w:szCs w:val="24"/>
          <w:rtl w:val="0"/>
        </w:rPr>
        <w:t xml:space="preserve">et al.</w:t>
      </w:r>
      <w:r w:rsidDel="00000000" w:rsidR="00000000" w:rsidRPr="00000000">
        <w:rPr>
          <w:sz w:val="24"/>
          <w:szCs w:val="24"/>
          <w:rtl w:val="0"/>
        </w:rPr>
        <w:t xml:space="preserve">, “Evaluation and Enhancement of Triaging Services Through Quality Improvement Tools at Primary Health Care Level: A Clinical Audit Study.,” </w:t>
      </w:r>
      <w:r w:rsidDel="00000000" w:rsidR="00000000" w:rsidRPr="00000000">
        <w:rPr>
          <w:i w:val="1"/>
          <w:iCs w:val="1"/>
          <w:sz w:val="24"/>
          <w:szCs w:val="24"/>
          <w:rtl w:val="0"/>
        </w:rPr>
        <w:t xml:space="preserve">J. Prim. Care Community Health</w:t>
      </w:r>
      <w:r w:rsidDel="00000000" w:rsidR="00000000" w:rsidRPr="00000000">
        <w:rPr>
          <w:sz w:val="24"/>
          <w:szCs w:val="24"/>
          <w:rtl w:val="0"/>
        </w:rPr>
        <w:t xml:space="preserve">, vol. 14, p. 21501319231202204, 2023, doi: 10.1177/21501319231202204.</w:t>
      </w:r>
    </w:p>
    <w:p w:rsidR="00000000" w:rsidDel="00000000" w:rsidP="00000000" w:rsidRDefault="00000000" w:rsidRPr="00000000" w14:paraId="000000BF">
      <w:pPr>
        <w:widowControl w:val="0"/>
        <w:spacing w:line="360" w:lineRule="auto"/>
        <w:ind w:left="640"/>
        <w:jc w:val="both"/>
        <w:rPr>
          <w:sz w:val="24"/>
          <w:szCs w:val="24"/>
        </w:rPr>
      </w:pPr>
      <w:r w:rsidDel="00000000" w:rsidR="00000000" w:rsidRPr="00000000">
        <w:rPr>
          <w:sz w:val="24"/>
          <w:szCs w:val="24"/>
          <w:rtl w:val="0"/>
        </w:rPr>
        <w:t xml:space="preserve">[29]</w:t>
        <w:tab/>
        <w:t xml:space="preserve">M. Özcan and S. Peker, “A classification and regression tree algorithm for heart disease modeling and prediction,”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3, p. 100130, Nov. 2023, doi: 10.1016/j.health.2022.100130.</w:t>
      </w:r>
    </w:p>
    <w:p w:rsidR="00000000" w:rsidDel="00000000" w:rsidP="00000000" w:rsidRDefault="00000000" w:rsidRPr="00000000" w14:paraId="000000C0">
      <w:pPr>
        <w:widowControl w:val="0"/>
        <w:spacing w:line="360" w:lineRule="auto"/>
        <w:ind w:left="640"/>
        <w:jc w:val="both"/>
        <w:rPr>
          <w:sz w:val="24"/>
          <w:szCs w:val="24"/>
        </w:rPr>
      </w:pPr>
      <w:r w:rsidDel="00000000" w:rsidR="00000000" w:rsidRPr="00000000">
        <w:rPr>
          <w:sz w:val="24"/>
          <w:szCs w:val="24"/>
          <w:rtl w:val="0"/>
        </w:rPr>
        <w:t xml:space="preserve">[30]</w:t>
        <w:tab/>
        <w:t xml:space="preserve">M. Martinović, K. Dokic, and D. Pudić, “Comparative Analysis of Machine Learning Models for Predicting Innovation Outcomes: An Applied AI Approach,” </w:t>
      </w:r>
      <w:r w:rsidDel="00000000" w:rsidR="00000000" w:rsidRPr="00000000">
        <w:rPr>
          <w:i w:val="1"/>
          <w:iCs w:val="1"/>
          <w:sz w:val="24"/>
          <w:szCs w:val="24"/>
          <w:rtl w:val="0"/>
        </w:rPr>
        <w:t xml:space="preserve">Appl. Sci.</w:t>
      </w:r>
      <w:r w:rsidDel="00000000" w:rsidR="00000000" w:rsidRPr="00000000">
        <w:rPr>
          <w:sz w:val="24"/>
          <w:szCs w:val="24"/>
          <w:rtl w:val="0"/>
        </w:rPr>
        <w:t xml:space="preserve">, vol. 15, p. 3636, Mar. 2025, doi: 10.3390/app15073636.</w:t>
      </w:r>
    </w:p>
    <w:p w:rsidR="00000000" w:rsidDel="00000000" w:rsidP="00000000" w:rsidRDefault="00000000" w:rsidRPr="00000000" w14:paraId="000000C1">
      <w:pPr>
        <w:widowControl w:val="0"/>
        <w:spacing w:line="360" w:lineRule="auto"/>
        <w:ind w:left="640"/>
        <w:jc w:val="both"/>
        <w:rPr>
          <w:sz w:val="24"/>
          <w:szCs w:val="24"/>
        </w:rPr>
      </w:pPr>
      <w:r w:rsidDel="00000000" w:rsidR="00000000" w:rsidRPr="00000000">
        <w:rPr>
          <w:sz w:val="24"/>
          <w:szCs w:val="24"/>
          <w:rtl w:val="0"/>
        </w:rPr>
        <w:t xml:space="preserve">[31]</w:t>
        <w:tab/>
        <w:t xml:space="preserve">M. Çakmak, </w:t>
      </w:r>
      <w:r w:rsidDel="00000000" w:rsidR="00000000" w:rsidRPr="00000000">
        <w:rPr>
          <w:i w:val="1"/>
          <w:iCs w:val="1"/>
          <w:sz w:val="24"/>
          <w:szCs w:val="24"/>
          <w:rtl w:val="0"/>
        </w:rPr>
        <w:t xml:space="preserve">Heart Disease Classification Using Random Forest Machine Learning</w:t>
      </w:r>
      <w:r w:rsidDel="00000000" w:rsidR="00000000" w:rsidRPr="00000000">
        <w:rPr>
          <w:sz w:val="24"/>
          <w:szCs w:val="24"/>
          <w:rtl w:val="0"/>
        </w:rPr>
        <w:t xml:space="preserve">. 2024. [Online]. Available: https://www.researchgate.net/publication/379309570_Heart_Disease_Classification_Using_Random_Forest_Machine_Learning</w:t>
      </w:r>
    </w:p>
    <w:p w:rsidR="00000000" w:rsidDel="00000000" w:rsidP="00000000" w:rsidRDefault="00000000" w:rsidRPr="00000000" w14:paraId="000000C2">
      <w:pPr>
        <w:widowControl w:val="0"/>
        <w:spacing w:line="360" w:lineRule="auto"/>
        <w:ind w:left="640"/>
        <w:jc w:val="both"/>
        <w:rPr>
          <w:sz w:val="24"/>
          <w:szCs w:val="24"/>
        </w:rPr>
      </w:pPr>
      <w:r w:rsidDel="00000000" w:rsidR="00000000" w:rsidRPr="00000000">
        <w:rPr>
          <w:sz w:val="24"/>
          <w:szCs w:val="24"/>
          <w:rtl w:val="0"/>
        </w:rPr>
        <w:t xml:space="preserve">[32]</w:t>
        <w:tab/>
        <w:t xml:space="preserve">G. Baron and U. Stanczyk, “Standard vs. Non-standard cross-validation: evaluation of performance in a space with structured distribution of datapoints,” </w:t>
      </w:r>
      <w:r w:rsidDel="00000000" w:rsidR="00000000" w:rsidRPr="00000000">
        <w:rPr>
          <w:i w:val="1"/>
          <w:iCs w:val="1"/>
          <w:sz w:val="24"/>
          <w:szCs w:val="24"/>
          <w:rtl w:val="0"/>
        </w:rPr>
        <w:t xml:space="preserve">Procedia Comput. Sci.</w:t>
      </w:r>
      <w:r w:rsidDel="00000000" w:rsidR="00000000" w:rsidRPr="00000000">
        <w:rPr>
          <w:sz w:val="24"/>
          <w:szCs w:val="24"/>
          <w:rtl w:val="0"/>
        </w:rPr>
        <w:t xml:space="preserve">, vol. 192, pp. 1245–1254, Oct. 2021, doi: 10.1016/j.procs.2021.08.128.</w:t>
      </w:r>
    </w:p>
    <w:p w:rsidR="00000000" w:rsidDel="00000000" w:rsidP="00000000" w:rsidRDefault="00000000" w:rsidRPr="00000000" w14:paraId="000000C3">
      <w:pPr>
        <w:widowControl w:val="0"/>
        <w:spacing w:line="360" w:lineRule="auto"/>
        <w:ind w:left="640"/>
        <w:jc w:val="both"/>
        <w:rPr>
          <w:sz w:val="24"/>
          <w:szCs w:val="24"/>
        </w:rPr>
      </w:pPr>
      <w:r w:rsidDel="00000000" w:rsidR="00000000" w:rsidRPr="00000000">
        <w:rPr>
          <w:sz w:val="24"/>
          <w:szCs w:val="24"/>
          <w:rtl w:val="0"/>
        </w:rPr>
        <w:t xml:space="preserve">[33]</w:t>
        <w:tab/>
        <w:t xml:space="preserve">S. Aoudi and H. Al-Aqrabi, </w:t>
      </w:r>
      <w:r w:rsidDel="00000000" w:rsidR="00000000" w:rsidRPr="00000000">
        <w:rPr>
          <w:i w:val="1"/>
          <w:iCs w:val="1"/>
          <w:sz w:val="24"/>
          <w:szCs w:val="24"/>
          <w:rtl w:val="0"/>
        </w:rPr>
        <w:t xml:space="preserve">Evaluating Adversarial Robustness of AI Intrusion Detection Systems Using Automated Traffic Generation</w:t>
      </w:r>
      <w:r w:rsidDel="00000000" w:rsidR="00000000" w:rsidRPr="00000000">
        <w:rPr>
          <w:sz w:val="24"/>
          <w:szCs w:val="24"/>
          <w:rtl w:val="0"/>
        </w:rPr>
        <w:t xml:space="preserve">. 2025. Doi: 10.21203/rs.3.rs-8316582/v1.</w:t>
      </w:r>
    </w:p>
    <w:p w:rsidR="00000000" w:rsidDel="00000000" w:rsidP="00000000" w:rsidRDefault="00000000" w:rsidRPr="00000000" w14:paraId="000000C4">
      <w:pPr>
        <w:widowControl w:val="0"/>
        <w:spacing w:line="360" w:lineRule="auto"/>
        <w:ind w:left="640"/>
        <w:jc w:val="both"/>
        <w:rPr>
          <w:sz w:val="24"/>
          <w:szCs w:val="24"/>
        </w:rPr>
      </w:pPr>
      <w:r w:rsidDel="00000000" w:rsidR="00000000" w:rsidRPr="00000000">
        <w:rPr>
          <w:sz w:val="24"/>
          <w:szCs w:val="24"/>
          <w:rtl w:val="0"/>
        </w:rPr>
        <w:t xml:space="preserve">[34]</w:t>
        <w:tab/>
        <w:t xml:space="preserve">T. Admassu, “Evaluation of Local Interpretable Model-Agnostic Explanation and Shapley Additive Explanation for Chronic Heart Disease Detection,” </w:t>
      </w:r>
      <w:r w:rsidDel="00000000" w:rsidR="00000000" w:rsidRPr="00000000">
        <w:rPr>
          <w:i w:val="1"/>
          <w:iCs w:val="1"/>
          <w:sz w:val="24"/>
          <w:szCs w:val="24"/>
          <w:rtl w:val="0"/>
        </w:rPr>
        <w:t xml:space="preserve">Proc. Eng. Technol. Innov.</w:t>
      </w:r>
      <w:r w:rsidDel="00000000" w:rsidR="00000000" w:rsidRPr="00000000">
        <w:rPr>
          <w:sz w:val="24"/>
          <w:szCs w:val="24"/>
          <w:rtl w:val="0"/>
        </w:rPr>
        <w:t xml:space="preserve">, vol. 23, pp. 48–59, Jan. 2023, doi: 10.46604/peti.2023.10101.</w:t>
      </w:r>
    </w:p>
    <w:p w:rsidR="00000000" w:rsidDel="00000000" w:rsidP="00000000" w:rsidRDefault="00000000" w:rsidRPr="00000000" w14:paraId="000000C5">
      <w:pPr>
        <w:widowControl w:val="0"/>
        <w:spacing w:line="360" w:lineRule="auto"/>
        <w:ind w:left="640"/>
        <w:jc w:val="both"/>
        <w:rPr>
          <w:sz w:val="24"/>
          <w:szCs w:val="24"/>
        </w:rPr>
      </w:pPr>
      <w:r w:rsidDel="00000000" w:rsidR="00000000" w:rsidRPr="00000000">
        <w:rPr>
          <w:sz w:val="24"/>
          <w:szCs w:val="24"/>
          <w:rtl w:val="0"/>
        </w:rPr>
        <w:t xml:space="preserve">[35]</w:t>
        <w:tab/>
        <w:t xml:space="preserve">M. Abbas, M. Khan, A. Khan, A. Bilal, A. Algarni, and R. Sarwar, “Interpretable machine learning models for beta thalassemia prediction: an explainable AI approach for smart healthcare 5.0,” </w:t>
      </w:r>
      <w:r w:rsidDel="00000000" w:rsidR="00000000" w:rsidRPr="00000000">
        <w:rPr>
          <w:i w:val="1"/>
          <w:iCs w:val="1"/>
          <w:sz w:val="24"/>
          <w:szCs w:val="24"/>
          <w:rtl w:val="0"/>
        </w:rPr>
        <w:t xml:space="preserve">Front. Med.</w:t>
      </w:r>
      <w:r w:rsidDel="00000000" w:rsidR="00000000" w:rsidRPr="00000000">
        <w:rPr>
          <w:sz w:val="24"/>
          <w:szCs w:val="24"/>
          <w:rtl w:val="0"/>
        </w:rPr>
        <w:t xml:space="preserve">, vol. 12, Jan. 2026, doi: 10.3389/fmed.2025.1688645.</w:t>
      </w:r>
    </w:p>
    <w:p w:rsidR="00000000" w:rsidDel="00000000" w:rsidP="00000000" w:rsidRDefault="00000000" w:rsidRPr="00000000" w14:paraId="000000C6">
      <w:pPr>
        <w:widowControl w:val="0"/>
        <w:spacing w:line="360" w:lineRule="auto"/>
        <w:ind w:left="640"/>
        <w:jc w:val="both"/>
        <w:rPr>
          <w:sz w:val="24"/>
          <w:szCs w:val="24"/>
        </w:rPr>
      </w:pPr>
      <w:r w:rsidDel="00000000" w:rsidR="00000000" w:rsidRPr="00000000">
        <w:rPr>
          <w:sz w:val="24"/>
          <w:szCs w:val="24"/>
          <w:rtl w:val="0"/>
        </w:rPr>
        <w:t xml:space="preserve">[36]</w:t>
        <w:tab/>
        <w:t xml:space="preserve">H. Strongman </w:t>
      </w:r>
      <w:r w:rsidDel="00000000" w:rsidR="00000000" w:rsidRPr="00000000">
        <w:rPr>
          <w:i w:val="1"/>
          <w:iCs w:val="1"/>
          <w:sz w:val="24"/>
          <w:szCs w:val="24"/>
          <w:rtl w:val="0"/>
        </w:rPr>
        <w:t xml:space="preserve">et al.</w:t>
      </w:r>
      <w:r w:rsidDel="00000000" w:rsidR="00000000" w:rsidRPr="00000000">
        <w:rPr>
          <w:sz w:val="24"/>
          <w:szCs w:val="24"/>
          <w:rtl w:val="0"/>
        </w:rPr>
        <w:t xml:space="preserve">, “Limitations for health research with restricted data collection from UK primary care.,” </w:t>
      </w:r>
      <w:r w:rsidDel="00000000" w:rsidR="00000000" w:rsidRPr="00000000">
        <w:rPr>
          <w:i w:val="1"/>
          <w:iCs w:val="1"/>
          <w:sz w:val="24"/>
          <w:szCs w:val="24"/>
          <w:rtl w:val="0"/>
        </w:rPr>
        <w:t xml:space="preserve">Pharmacoepidemiol. Drug Saf.</w:t>
      </w:r>
      <w:r w:rsidDel="00000000" w:rsidR="00000000" w:rsidRPr="00000000">
        <w:rPr>
          <w:sz w:val="24"/>
          <w:szCs w:val="24"/>
          <w:rtl w:val="0"/>
        </w:rPr>
        <w:t xml:space="preserve">, vol. 28, no. 6, pp. 777–787, Jun. 2019, doi: 10.1002/pds.4765.</w:t>
      </w:r>
    </w:p>
    <w:p w:rsidR="00000000" w:rsidDel="00000000" w:rsidP="00000000" w:rsidRDefault="00000000" w:rsidRPr="00000000" w14:paraId="000000C7">
      <w:pPr>
        <w:widowControl w:val="0"/>
        <w:spacing w:line="360" w:lineRule="auto"/>
        <w:ind w:left="640"/>
        <w:jc w:val="both"/>
        <w:rPr>
          <w:sz w:val="24"/>
          <w:szCs w:val="24"/>
        </w:rPr>
      </w:pPr>
      <w:r w:rsidDel="00000000" w:rsidR="00000000" w:rsidRPr="00000000">
        <w:rPr>
          <w:sz w:val="24"/>
          <w:szCs w:val="24"/>
          <w:rtl w:val="0"/>
        </w:rPr>
        <w:t xml:space="preserve">[37]</w:t>
        <w:tab/>
        <w:t xml:space="preserve">A. Sharma </w:t>
      </w:r>
      <w:r w:rsidDel="00000000" w:rsidR="00000000" w:rsidRPr="00000000">
        <w:rPr>
          <w:i w:val="1"/>
          <w:iCs w:val="1"/>
          <w:sz w:val="24"/>
          <w:szCs w:val="24"/>
          <w:rtl w:val="0"/>
        </w:rPr>
        <w:t xml:space="preserve">et al.</w:t>
      </w:r>
      <w:r w:rsidDel="00000000" w:rsidR="00000000" w:rsidRPr="00000000">
        <w:rPr>
          <w:sz w:val="24"/>
          <w:szCs w:val="24"/>
          <w:rtl w:val="0"/>
        </w:rPr>
        <w:t xml:space="preserve">, “A Systematic Review on Machine Learning Intelligent Systems for Heart Disease Diagnosis,” </w:t>
      </w:r>
      <w:r w:rsidDel="00000000" w:rsidR="00000000" w:rsidRPr="00000000">
        <w:rPr>
          <w:i w:val="1"/>
          <w:iCs w:val="1"/>
          <w:sz w:val="24"/>
          <w:szCs w:val="24"/>
          <w:rtl w:val="0"/>
        </w:rPr>
        <w:t xml:space="preserve">Arch. Comput. Methods Eng.</w:t>
      </w:r>
      <w:r w:rsidDel="00000000" w:rsidR="00000000" w:rsidRPr="00000000">
        <w:rPr>
          <w:sz w:val="24"/>
          <w:szCs w:val="24"/>
          <w:rtl w:val="0"/>
        </w:rPr>
        <w:t xml:space="preserve">, vol. 32, Mar. 2025, doi: 10.1007/s11831-025-10271-2.</w:t>
      </w:r>
    </w:p>
    <w:p w:rsidR="00000000" w:rsidDel="00000000" w:rsidP="00000000" w:rsidRDefault="00000000" w:rsidRPr="00000000" w14:paraId="000000C8">
      <w:pPr>
        <w:spacing w:line="360" w:lineRule="auto"/>
        <w:jc w:val="both"/>
        <w:rPr>
          <w:sz w:val="24"/>
          <w:szCs w:val="24"/>
        </w:rPr>
      </w:pPr>
      <w:r w:rsidDel="00000000" w:rsidR="00000000" w:rsidRPr="00000000">
        <w:rPr>
          <w:rtl w:val="0"/>
        </w:rPr>
      </w:r>
    </w:p>
    <w:p w:rsidR="00000000" w:rsidDel="00000000" w:rsidP="00000000" w:rsidRDefault="00000000" w:rsidRPr="00000000" w14:paraId="000000C9">
      <w:pPr>
        <w:spacing w:line="360" w:lineRule="auto"/>
        <w:jc w:val="both"/>
        <w:rPr>
          <w:sz w:val="24"/>
          <w:szCs w:val="24"/>
        </w:rPr>
      </w:pPr>
      <w:r w:rsidDel="00000000" w:rsidR="00000000" w:rsidRPr="00000000">
        <w:rPr>
          <w:rtl w:val="0"/>
        </w:rPr>
      </w:r>
    </w:p>
    <w:p w:rsidR="00000000" w:rsidDel="00000000" w:rsidP="00000000" w:rsidRDefault="00000000" w:rsidRPr="00000000" w14:paraId="000000CA">
      <w:pPr>
        <w:spacing w:line="360" w:lineRule="auto"/>
        <w:jc w:val="both"/>
        <w:rPr>
          <w:sz w:val="24"/>
          <w:szCs w:val="24"/>
        </w:rPr>
      </w:pPr>
      <w:r w:rsidDel="00000000" w:rsidR="00000000" w:rsidRPr="00000000">
        <w:rPr>
          <w:rtl w:val="0"/>
        </w:rPr>
      </w:r>
    </w:p>
    <w:p w:rsidR="00000000" w:rsidDel="00000000" w:rsidP="00000000" w:rsidRDefault="00000000" w:rsidRPr="00000000" w14:paraId="000000CB">
      <w:pPr>
        <w:spacing w:line="360" w:lineRule="auto"/>
        <w:jc w:val="both"/>
        <w:rPr>
          <w:sz w:val="24"/>
          <w:szCs w:val="24"/>
        </w:rPr>
      </w:pPr>
      <w:r w:rsidDel="00000000" w:rsidR="00000000" w:rsidRPr="00000000">
        <w:rPr>
          <w:rtl w:val="0"/>
        </w:rPr>
      </w:r>
    </w:p>
    <w:p w:rsidR="00000000" w:rsidDel="00000000" w:rsidP="00000000" w:rsidRDefault="00000000" w:rsidRPr="00000000" w14:paraId="000000CC">
      <w:pPr>
        <w:spacing w:line="360" w:lineRule="auto"/>
        <w:jc w:val="both"/>
        <w:rPr>
          <w:sz w:val="24"/>
          <w:szCs w:val="24"/>
        </w:rPr>
      </w:pPr>
      <w:r w:rsidDel="00000000" w:rsidR="00000000" w:rsidRPr="00000000">
        <w:rPr>
          <w:rtl w:val="0"/>
        </w:rPr>
      </w:r>
    </w:p>
    <w:p w:rsidR="00000000" w:rsidDel="00000000" w:rsidP="00000000" w:rsidRDefault="00000000" w:rsidRPr="00000000" w14:paraId="000000CD">
      <w:pPr>
        <w:spacing w:line="360" w:lineRule="auto"/>
        <w:jc w:val="both"/>
        <w:rPr>
          <w:sz w:val="24"/>
          <w:szCs w:val="24"/>
        </w:rPr>
      </w:pPr>
      <w:r w:rsidDel="00000000" w:rsidR="00000000" w:rsidRPr="00000000">
        <w:rPr>
          <w:rtl w:val="0"/>
        </w:rPr>
      </w:r>
    </w:p>
    <w:p w:rsidR="00000000" w:rsidDel="00000000" w:rsidP="00000000" w:rsidRDefault="00000000" w:rsidRPr="00000000" w14:paraId="000000CE">
      <w:pPr>
        <w:spacing w:line="360" w:lineRule="auto"/>
        <w:jc w:val="both"/>
        <w:rPr>
          <w:sz w:val="24"/>
          <w:szCs w:val="24"/>
        </w:rPr>
      </w:pPr>
      <w:r w:rsidDel="00000000" w:rsidR="00000000" w:rsidRPr="00000000">
        <w:rPr>
          <w:rtl w:val="0"/>
        </w:rPr>
      </w:r>
    </w:p>
    <w:p w:rsidR="00000000" w:rsidDel="00000000" w:rsidP="00000000" w:rsidRDefault="00000000" w:rsidRPr="00000000" w14:paraId="000000CF">
      <w:pPr>
        <w:spacing w:line="360" w:lineRule="auto"/>
        <w:jc w:val="both"/>
        <w:rPr>
          <w:sz w:val="24"/>
          <w:szCs w:val="24"/>
        </w:rPr>
      </w:pPr>
      <w:r w:rsidDel="00000000" w:rsidR="00000000" w:rsidRPr="00000000">
        <w:rPr>
          <w:rtl w:val="0"/>
        </w:rPr>
      </w:r>
    </w:p>
    <w:p w:rsidR="00000000" w:rsidDel="00000000" w:rsidP="00000000" w:rsidRDefault="00000000" w:rsidRPr="00000000" w14:paraId="000000D0">
      <w:pPr>
        <w:spacing w:line="360" w:lineRule="auto"/>
        <w:jc w:val="both"/>
        <w:rPr>
          <w:sz w:val="24"/>
          <w:szCs w:val="24"/>
        </w:rPr>
      </w:pPr>
      <w:r w:rsidDel="00000000" w:rsidR="00000000" w:rsidRPr="00000000">
        <w:rPr>
          <w:rtl w:val="0"/>
        </w:rPr>
      </w:r>
    </w:p>
    <w:p w:rsidR="00000000" w:rsidDel="00000000" w:rsidP="00000000" w:rsidRDefault="00000000" w:rsidRPr="00000000" w14:paraId="000000D1">
      <w:pPr>
        <w:spacing w:line="360" w:lineRule="auto"/>
        <w:jc w:val="both"/>
        <w:rPr>
          <w:sz w:val="24"/>
          <w:szCs w:val="24"/>
        </w:rPr>
      </w:pPr>
      <w:r w:rsidDel="00000000" w:rsidR="00000000" w:rsidRPr="00000000">
        <w:rPr>
          <w:rtl w:val="0"/>
        </w:rPr>
      </w:r>
    </w:p>
    <w:p w:rsidR="00000000" w:rsidDel="00000000" w:rsidP="00000000" w:rsidRDefault="00000000" w:rsidRPr="00000000" w14:paraId="000000D2">
      <w:pPr>
        <w:spacing w:line="360" w:lineRule="auto"/>
        <w:jc w:val="both"/>
        <w:rPr>
          <w:sz w:val="24"/>
          <w:szCs w:val="24"/>
        </w:rPr>
      </w:pPr>
      <w:r w:rsidDel="00000000" w:rsidR="00000000" w:rsidRPr="00000000">
        <w:rPr>
          <w:rtl w:val="0"/>
        </w:rPr>
      </w:r>
    </w:p>
    <w:p w:rsidR="00000000" w:rsidDel="00000000" w:rsidP="00000000" w:rsidRDefault="00000000" w:rsidRPr="00000000" w14:paraId="000000D3">
      <w:pPr>
        <w:spacing w:line="360" w:lineRule="auto"/>
        <w:jc w:val="both"/>
        <w:rPr>
          <w:sz w:val="24"/>
          <w:szCs w:val="24"/>
        </w:rPr>
      </w:pPr>
      <w:r w:rsidDel="00000000" w:rsidR="00000000" w:rsidRPr="00000000">
        <w:rPr>
          <w:rtl w:val="0"/>
        </w:rPr>
      </w:r>
    </w:p>
    <w:p w:rsidR="00000000" w:rsidDel="00000000" w:rsidP="00000000" w:rsidRDefault="00000000" w:rsidRPr="00000000" w14:paraId="000000D4">
      <w:pPr>
        <w:spacing w:line="360" w:lineRule="auto"/>
        <w:jc w:val="both"/>
        <w:rPr>
          <w:sz w:val="24"/>
          <w:szCs w:val="24"/>
        </w:rPr>
      </w:pPr>
      <w:r w:rsidDel="00000000" w:rsidR="00000000" w:rsidRPr="00000000">
        <w:rPr>
          <w:rtl w:val="0"/>
        </w:rPr>
      </w:r>
    </w:p>
    <w:p w:rsidR="00000000" w:rsidDel="00000000" w:rsidP="00000000" w:rsidRDefault="00000000" w:rsidRPr="00000000" w14:paraId="000000D5">
      <w:pPr>
        <w:spacing w:line="360" w:lineRule="auto"/>
        <w:jc w:val="both"/>
        <w:rPr>
          <w:sz w:val="24"/>
          <w:szCs w:val="24"/>
        </w:rPr>
      </w:pPr>
      <w:r w:rsidDel="00000000" w:rsidR="00000000" w:rsidRPr="00000000">
        <w:rPr>
          <w:rtl w:val="0"/>
        </w:rPr>
      </w:r>
    </w:p>
    <w:p w:rsidR="00000000" w:rsidDel="00000000" w:rsidP="00000000" w:rsidRDefault="00000000" w:rsidRPr="00000000" w14:paraId="000000D6">
      <w:pPr>
        <w:spacing w:line="360" w:lineRule="auto"/>
        <w:jc w:val="both"/>
        <w:rPr>
          <w:sz w:val="24"/>
          <w:szCs w:val="24"/>
        </w:rPr>
      </w:pPr>
      <w:r w:rsidDel="00000000" w:rsidR="00000000" w:rsidRPr="00000000">
        <w:rPr>
          <w:rtl w:val="0"/>
        </w:rPr>
      </w:r>
    </w:p>
    <w:p w:rsidR="00000000" w:rsidDel="00000000" w:rsidP="00000000" w:rsidRDefault="00000000" w:rsidRPr="00000000" w14:paraId="000000D7">
      <w:pPr>
        <w:spacing w:line="360" w:lineRule="auto"/>
        <w:jc w:val="both"/>
        <w:rPr>
          <w:sz w:val="24"/>
          <w:szCs w:val="24"/>
        </w:rPr>
      </w:pPr>
      <w:r w:rsidDel="00000000" w:rsidR="00000000" w:rsidRPr="00000000">
        <w:rPr>
          <w:rtl w:val="0"/>
        </w:rPr>
      </w:r>
    </w:p>
    <w:p w:rsidR="00000000" w:rsidDel="00000000" w:rsidP="00000000" w:rsidRDefault="00000000" w:rsidRPr="00000000" w14:paraId="000000D8">
      <w:pPr>
        <w:spacing w:line="360" w:lineRule="auto"/>
        <w:jc w:val="both"/>
        <w:rPr>
          <w:sz w:val="24"/>
          <w:szCs w:val="24"/>
        </w:rPr>
      </w:pPr>
      <w:r w:rsidDel="00000000" w:rsidR="00000000" w:rsidRPr="00000000">
        <w:rPr>
          <w:rtl w:val="0"/>
        </w:rPr>
      </w:r>
    </w:p>
    <w:p w:rsidR="00000000" w:rsidDel="00000000" w:rsidP="00000000" w:rsidRDefault="00000000" w:rsidRPr="00000000" w14:paraId="000000D9">
      <w:pPr>
        <w:spacing w:line="360" w:lineRule="auto"/>
        <w:jc w:val="both"/>
        <w:rPr>
          <w:sz w:val="24"/>
          <w:szCs w:val="24"/>
        </w:rPr>
      </w:pPr>
      <w:r w:rsidDel="00000000" w:rsidR="00000000" w:rsidRPr="00000000">
        <w:rPr>
          <w:rtl w:val="0"/>
        </w:rPr>
      </w:r>
    </w:p>
    <w:p w:rsidR="00000000" w:rsidDel="00000000" w:rsidP="00000000" w:rsidRDefault="00000000" w:rsidRPr="00000000" w14:paraId="000000DA">
      <w:pPr>
        <w:spacing w:line="360" w:lineRule="auto"/>
        <w:jc w:val="both"/>
        <w:rPr>
          <w:sz w:val="24"/>
          <w:szCs w:val="24"/>
        </w:rPr>
      </w:pPr>
      <w:r w:rsidDel="00000000" w:rsidR="00000000" w:rsidRPr="00000000">
        <w:rPr>
          <w:rtl w:val="0"/>
        </w:rPr>
      </w:r>
    </w:p>
    <w:p w:rsidR="00000000" w:rsidDel="00000000" w:rsidP="00000000" w:rsidRDefault="00000000" w:rsidRPr="00000000" w14:paraId="000000DB">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DC">
      <w:pPr>
        <w:spacing w:line="360" w:lineRule="auto"/>
        <w:jc w:val="both"/>
        <w:rPr>
          <w:sz w:val="24"/>
          <w:szCs w:val="24"/>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rtl w:val="0"/>
        </w:rPr>
      </w:r>
    </w:p>
    <w:sectPr>
      <w:type w:val="continuous"/>
      <w:pgSz w:h="16834" w:w="11909" w:orient="portrait"/>
      <w:pgMar w:bottom="2434" w:top="1080" w:left="734" w:right="734" w:header="720" w:footer="720"/>
      <w:cols w:equalWidth="0" w:num="1">
        <w:col w:space="0" w:w="10437.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abstractNum w:abstractNumId="3">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jc w:val="center"/>
    </w:pPr>
    <w:rPr>
      <w:rFonts w:ascii="Times New Roman" w:cs="Times New Roman" w:eastAsia="Times New Roman" w:hAnsi="Times New Roman"/>
      <w:smallCaps w:val="1"/>
      <w:vertAlign w:val="baseline"/>
    </w:rPr>
  </w:style>
  <w:style w:type="paragraph" w:styleId="Heading2">
    <w:name w:val="heading 2"/>
    <w:basedOn w:val="Normal"/>
    <w:next w:val="Normal"/>
    <w:pPr>
      <w:keepNext w:val="1"/>
      <w:keepLines w:val="1"/>
      <w:spacing w:after="60" w:before="120" w:lineRule="auto"/>
      <w:ind w:left="288" w:hanging="288"/>
      <w:jc w:val="left"/>
    </w:pPr>
    <w:rPr>
      <w:rFonts w:ascii="Times New Roman" w:cs="Times New Roman" w:eastAsia="Times New Roman" w:hAnsi="Times New Roman"/>
      <w:i w:val="1"/>
      <w:iCs w:val="1"/>
      <w:vertAlign w:val="baseline"/>
    </w:rPr>
  </w:style>
  <w:style w:type="paragraph" w:styleId="Heading3">
    <w:name w:val="heading 3"/>
    <w:basedOn w:val="Normal"/>
    <w:next w:val="Normal"/>
    <w:pPr>
      <w:ind w:left="0" w:firstLine="288"/>
      <w:jc w:val="both"/>
    </w:pPr>
    <w:rPr>
      <w:rFonts w:ascii="Times New Roman" w:cs="Times New Roman" w:eastAsia="Times New Roman" w:hAnsi="Times New Roman"/>
      <w:i w:val="1"/>
      <w:iCs w:val="1"/>
      <w:vertAlign w:val="baseline"/>
    </w:rPr>
  </w:style>
  <w:style w:type="paragraph" w:styleId="Heading4">
    <w:name w:val="heading 4"/>
    <w:basedOn w:val="Normal"/>
    <w:next w:val="Normal"/>
    <w:pPr>
      <w:tabs>
        <w:tab w:val="left" w:leader="none" w:pos="821"/>
      </w:tabs>
      <w:spacing w:after="40" w:before="40" w:lineRule="auto"/>
      <w:ind w:left="0" w:firstLine="504"/>
      <w:jc w:val="both"/>
    </w:pPr>
    <w:rPr>
      <w:rFonts w:ascii="Times New Roman" w:cs="Times New Roman" w:eastAsia="Times New Roman" w:hAnsi="Times New Roman"/>
      <w:i w:val="1"/>
      <w:iCs w:val="1"/>
      <w:vertAlign w:val="baseline"/>
    </w:rPr>
  </w:style>
  <w:style w:type="paragraph" w:styleId="Heading5">
    <w:name w:val="heading 5"/>
    <w:basedOn w:val="Normal"/>
    <w:next w:val="Normal"/>
    <w:pPr>
      <w:tabs>
        <w:tab w:val="left" w:leader="none" w:pos="360"/>
      </w:tabs>
      <w:spacing w:after="80" w:before="160" w:lineRule="auto"/>
      <w:jc w:val="center"/>
    </w:pPr>
    <w:rPr>
      <w:rFonts w:ascii="Times New Roman" w:cs="Times New Roman" w:eastAsia="Times New Roman" w:hAnsi="Times New Roman"/>
      <w:smallCaps w:val="1"/>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4.png"/><Relationship Id="rId10" Type="http://schemas.openxmlformats.org/officeDocument/2006/relationships/image" Target="media/image8.png"/><Relationship Id="rId21" Type="http://schemas.openxmlformats.org/officeDocument/2006/relationships/image" Target="media/image16.png"/><Relationship Id="rId13" Type="http://schemas.openxmlformats.org/officeDocument/2006/relationships/image" Target="media/image3.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11.png"/><Relationship Id="rId14"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image" Target="media/image5.png"/><Relationship Id="rId18"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