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y-big-company"/>
      <w:r>
        <w:t xml:space="preserve">My Big Company</w:t>
      </w:r>
      <w:bookmarkEnd w:id="20"/>
    </w:p>
    <w:p>
      <w:pPr>
        <w:pStyle w:val="Heading1"/>
      </w:pPr>
      <w:bookmarkStart w:id="21" w:name="Xd3b15cdabcc8504032540e1aa6fe8b8d8a75648"/>
      <w:r>
        <w:t xml:space="preserve">Server Engineering and Operations - Platform Admin Guide</w:t>
      </w:r>
      <w:bookmarkEnd w:id="21"/>
    </w:p>
    <w:p>
      <w:pPr>
        <w:pStyle w:val="Heading2"/>
      </w:pPr>
      <w:bookmarkStart w:id="22" w:name="introduction"/>
      <w:r>
        <w:t xml:space="preserve">1. Introduction</w:t>
      </w:r>
      <w:bookmarkEnd w:id="22"/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Define administrative responsibilities in My Big Company’s AAP deployment.</w:t>
      </w:r>
      <w:r>
        <w:br/>
      </w:r>
      <w:r>
        <w:rPr>
          <w:b/>
        </w:rPr>
        <w:t xml:space="preserve">Scope:</w:t>
      </w:r>
      <w:r>
        <w:t xml:space="preserve"> </w:t>
      </w:r>
      <w:r>
        <w:t xml:space="preserve">Covers Execution Environments (EEs), job templates, RBAC, security, and compliance for My Big Company.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infrastructure-overview"/>
      <w:r>
        <w:t xml:space="preserve">2. Infrastructure Overview</w:t>
      </w:r>
      <w:bookmarkEnd w:id="23"/>
    </w:p>
    <w:p>
      <w:pPr>
        <w:pStyle w:val="Heading3"/>
      </w:pPr>
      <w:bookmarkStart w:id="24" w:name="aap-architecture-overview"/>
      <w:r>
        <w:t xml:space="preserve">AAP Architecture Overview</w:t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Control Nodes (Orchestration)</w:t>
      </w:r>
    </w:p>
    <w:p>
      <w:pPr>
        <w:numPr>
          <w:ilvl w:val="0"/>
          <w:numId w:val="1001"/>
        </w:numPr>
        <w:pStyle w:val="Compact"/>
      </w:pPr>
      <w:r>
        <w:t xml:space="preserve">Execution Nodes (Playbook Execution)</w:t>
      </w:r>
    </w:p>
    <w:p>
      <w:pPr>
        <w:numPr>
          <w:ilvl w:val="0"/>
          <w:numId w:val="1001"/>
        </w:numPr>
        <w:pStyle w:val="Compact"/>
      </w:pPr>
      <w:r>
        <w:t xml:space="preserve">Load Balancer: F5 Big-IP</w:t>
      </w:r>
    </w:p>
    <w:p>
      <w:pPr>
        <w:pStyle w:val="Heading3"/>
      </w:pPr>
      <w:bookmarkStart w:id="25" w:name="networking-requirements"/>
      <w:r>
        <w:t xml:space="preserve">Networking Requirements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Registry access for EE builds: quay.io/internal-registry</w:t>
      </w:r>
    </w:p>
    <w:p>
      <w:pPr>
        <w:numPr>
          <w:ilvl w:val="0"/>
          <w:numId w:val="1002"/>
        </w:numPr>
        <w:pStyle w:val="Compact"/>
      </w:pPr>
      <w:r>
        <w:t xml:space="preserve">RBAC via Active Directory, Okta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execution-environment-ee-management"/>
      <w:r>
        <w:t xml:space="preserve">3. Execution Environment (EE) Management</w:t>
      </w:r>
      <w:bookmarkEnd w:id="26"/>
    </w:p>
    <w:p>
      <w:pPr>
        <w:pStyle w:val="Heading3"/>
      </w:pPr>
      <w:bookmarkStart w:id="27" w:name="building-a-custom-ee"/>
      <w:r>
        <w:t xml:space="preserve">3.1. Building a Custom EE</w:t>
      </w:r>
      <w:bookmarkEnd w:id="27"/>
    </w:p>
    <w:p>
      <w:pPr>
        <w:pStyle w:val="Heading4"/>
      </w:pPr>
      <w:bookmarkStart w:id="28" w:name="define-ee-build-configuration"/>
      <w:r>
        <w:t xml:space="preserve">Define EE Build Configuration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Base image</w:t>
      </w:r>
    </w:p>
    <w:p>
      <w:pPr>
        <w:numPr>
          <w:ilvl w:val="0"/>
          <w:numId w:val="1003"/>
        </w:numPr>
        <w:pStyle w:val="Compact"/>
      </w:pPr>
      <w:r>
        <w:t xml:space="preserve">Collections: ansible.windows, community.general</w:t>
      </w:r>
    </w:p>
    <w:p>
      <w:pPr>
        <w:numPr>
          <w:ilvl w:val="0"/>
          <w:numId w:val="1003"/>
        </w:numPr>
        <w:pStyle w:val="Compact"/>
      </w:pPr>
      <w:r>
        <w:t xml:space="preserve">Python dependencies (e.g., boto3, requests)</w:t>
      </w:r>
    </w:p>
    <w:p>
      <w:pPr>
        <w:numPr>
          <w:ilvl w:val="0"/>
          <w:numId w:val="1003"/>
        </w:numPr>
        <w:pStyle w:val="Compact"/>
      </w:pPr>
      <w:r>
        <w:t xml:space="preserve">System dependencies (e.g., RPM packages)</w:t>
      </w:r>
    </w:p>
    <w:p>
      <w:pPr>
        <w:pStyle w:val="Heading4"/>
      </w:pPr>
      <w:bookmarkStart w:id="29" w:name="steps"/>
      <w:r>
        <w:t xml:space="preserve">Steps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Build the EE</w:t>
      </w:r>
    </w:p>
    <w:p>
      <w:pPr>
        <w:numPr>
          <w:ilvl w:val="0"/>
          <w:numId w:val="1004"/>
        </w:numPr>
        <w:pStyle w:val="Compact"/>
      </w:pPr>
      <w:r>
        <w:t xml:space="preserve">Push EE to Registry</w:t>
      </w:r>
    </w:p>
    <w:p>
      <w:pPr>
        <w:numPr>
          <w:ilvl w:val="0"/>
          <w:numId w:val="1004"/>
        </w:numPr>
        <w:pStyle w:val="Compact"/>
      </w:pPr>
      <w:r>
        <w:t xml:space="preserve">Register EE in AAP</w:t>
      </w:r>
    </w:p>
    <w:p>
      <w:pPr>
        <w:pStyle w:val="Heading3"/>
      </w:pPr>
      <w:bookmarkStart w:id="30" w:name="automating-ee-builds-cicd"/>
      <w:r>
        <w:t xml:space="preserve">3.2. Automating EE Builds (CI/CD)</w:t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Use AAP Job Templates to trigger EE builds on updates.</w:t>
      </w:r>
    </w:p>
    <w:p>
      <w:pPr>
        <w:numPr>
          <w:ilvl w:val="0"/>
          <w:numId w:val="1005"/>
        </w:numPr>
        <w:pStyle w:val="Compact"/>
      </w:pPr>
      <w:r>
        <w:t xml:space="preserve">Automate registry sync to avoid stale images.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platform-security-governance"/>
      <w:r>
        <w:t xml:space="preserve">4. Platform Security &amp; Governance</w:t>
      </w:r>
      <w:bookmarkEnd w:id="31"/>
    </w:p>
    <w:p>
      <w:pPr>
        <w:pStyle w:val="Heading3"/>
      </w:pPr>
      <w:bookmarkStart w:id="32" w:name="rbac-enforcement"/>
      <w:r>
        <w:t xml:space="preserve">RBAC Enforcement</w:t>
      </w:r>
      <w:bookmarkEnd w:id="32"/>
    </w:p>
    <w:p>
      <w:pPr>
        <w:numPr>
          <w:ilvl w:val="0"/>
          <w:numId w:val="1006"/>
        </w:numPr>
        <w:pStyle w:val="Compact"/>
      </w:pPr>
      <w:r>
        <w:t xml:space="preserve">Role-based access control via SailPoint</w:t>
      </w:r>
    </w:p>
    <w:p>
      <w:pPr>
        <w:numPr>
          <w:ilvl w:val="0"/>
          <w:numId w:val="1006"/>
        </w:numPr>
        <w:pStyle w:val="Compact"/>
      </w:pPr>
      <w:r>
        <w:t xml:space="preserve">No direct individual permissions</w:t>
      </w:r>
    </w:p>
    <w:p>
      <w:pPr>
        <w:pStyle w:val="Heading3"/>
      </w:pPr>
      <w:bookmarkStart w:id="33" w:name="inventory-credential-security"/>
      <w:r>
        <w:t xml:space="preserve">Inventory &amp; Credential Security</w:t>
      </w:r>
      <w:bookmarkEnd w:id="33"/>
    </w:p>
    <w:p>
      <w:pPr>
        <w:numPr>
          <w:ilvl w:val="0"/>
          <w:numId w:val="1007"/>
        </w:numPr>
        <w:pStyle w:val="Compact"/>
      </w:pPr>
      <w:r>
        <w:t xml:space="preserve">Centralized credential storage: CyberArk</w:t>
      </w:r>
    </w:p>
    <w:p>
      <w:pPr>
        <w:numPr>
          <w:ilvl w:val="0"/>
          <w:numId w:val="1007"/>
        </w:numPr>
        <w:pStyle w:val="Compact"/>
      </w:pPr>
      <w:r>
        <w:t xml:space="preserve">Role-based credential usage restrictions</w:t>
      </w:r>
    </w:p>
    <w:p>
      <w:pPr>
        <w:pStyle w:val="Heading3"/>
      </w:pPr>
      <w:bookmarkStart w:id="34" w:name="job-execution-policies"/>
      <w:r>
        <w:t xml:space="preserve">Job Execution Policies</w:t>
      </w:r>
      <w:bookmarkEnd w:id="34"/>
    </w:p>
    <w:p>
      <w:pPr>
        <w:numPr>
          <w:ilvl w:val="0"/>
          <w:numId w:val="1008"/>
        </w:numPr>
        <w:pStyle w:val="Compact"/>
      </w:pPr>
      <w:r>
        <w:t xml:space="preserve">Execution only within predefined environments</w:t>
      </w:r>
    </w:p>
    <w:p>
      <w:pPr>
        <w:numPr>
          <w:ilvl w:val="0"/>
          <w:numId w:val="1008"/>
        </w:numPr>
        <w:pStyle w:val="Compact"/>
      </w:pPr>
      <w:r>
        <w:t xml:space="preserve">Approval workflow for sensitive automation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maintenance-troubleshooting"/>
      <w:r>
        <w:t xml:space="preserve">5. Maintenance &amp; Troubleshooting</w:t>
      </w:r>
      <w:bookmarkEnd w:id="35"/>
    </w:p>
    <w:p>
      <w:pPr>
        <w:pStyle w:val="Heading3"/>
      </w:pPr>
      <w:bookmarkStart w:id="36" w:name="ee-build-issues"/>
      <w:r>
        <w:t xml:space="preserve">EE Build Issues</w:t>
      </w:r>
      <w:bookmarkEnd w:id="36"/>
    </w:p>
    <w:p>
      <w:pPr>
        <w:numPr>
          <w:ilvl w:val="0"/>
          <w:numId w:val="1009"/>
        </w:numPr>
        <w:pStyle w:val="Compact"/>
      </w:pPr>
      <w:r>
        <w:t xml:space="preserve">Debugging execution-environment.yml errors</w:t>
      </w:r>
    </w:p>
    <w:p>
      <w:pPr>
        <w:numPr>
          <w:ilvl w:val="0"/>
          <w:numId w:val="1009"/>
        </w:numPr>
        <w:pStyle w:val="Compact"/>
      </w:pPr>
      <w:r>
        <w:t xml:space="preserve">Checking build logs</w:t>
      </w:r>
    </w:p>
    <w:p>
      <w:pPr>
        <w:pStyle w:val="Heading3"/>
      </w:pPr>
      <w:bookmarkStart w:id="37" w:name="registry-sync-failures"/>
      <w:r>
        <w:t xml:space="preserve">Registry Sync Failures</w:t>
      </w:r>
      <w:bookmarkEnd w:id="37"/>
    </w:p>
    <w:p>
      <w:pPr>
        <w:numPr>
          <w:ilvl w:val="0"/>
          <w:numId w:val="1010"/>
        </w:numPr>
        <w:pStyle w:val="Compact"/>
      </w:pPr>
      <w:r>
        <w:t xml:space="preserve">Ensuring connectivity to quay.io/internal-registry</w:t>
      </w:r>
    </w:p>
    <w:p>
      <w:pPr>
        <w:numPr>
          <w:ilvl w:val="0"/>
          <w:numId w:val="1010"/>
        </w:numPr>
        <w:pStyle w:val="Compact"/>
      </w:pPr>
      <w:r>
        <w:t xml:space="preserve">Automating periodic sync jobs</w:t>
      </w:r>
    </w:p>
    <w:p>
      <w:pPr>
        <w:pStyle w:val="Heading3"/>
      </w:pPr>
      <w:bookmarkStart w:id="38" w:name="rbacaccess-errors"/>
      <w:r>
        <w:t xml:space="preserve">RBAC/Access Errors</w:t>
      </w:r>
      <w:bookmarkEnd w:id="38"/>
    </w:p>
    <w:p>
      <w:pPr>
        <w:numPr>
          <w:ilvl w:val="0"/>
          <w:numId w:val="1011"/>
        </w:numPr>
        <w:pStyle w:val="Compact"/>
      </w:pPr>
      <w:r>
        <w:t xml:space="preserve">Validating Active Directory, Okta group memberships</w:t>
      </w:r>
    </w:p>
    <w:p>
      <w:pPr>
        <w:numPr>
          <w:ilvl w:val="0"/>
          <w:numId w:val="1011"/>
        </w:numPr>
        <w:pStyle w:val="Compact"/>
      </w:pPr>
      <w:r>
        <w:t xml:space="preserve">Ensuring correct role assignments</w:t>
      </w:r>
    </w:p>
    <w:p>
      <w:pPr>
        <w:pStyle w:val="Heading3"/>
      </w:pPr>
      <w:bookmarkStart w:id="39" w:name="container-logs-debugging"/>
      <w:r>
        <w:t xml:space="preserve">Container Logs &amp; Debugging</w:t>
      </w:r>
      <w:bookmarkEnd w:id="39"/>
    </w:p>
    <w:p>
      <w:pPr>
        <w:numPr>
          <w:ilvl w:val="0"/>
          <w:numId w:val="1012"/>
        </w:numPr>
        <w:pStyle w:val="Compact"/>
      </w:pPr>
      <w:r>
        <w:t xml:space="preserve">Accessing logs from execution nodes</w:t>
      </w:r>
    </w:p>
    <w:p>
      <w:pPr>
        <w:numPr>
          <w:ilvl w:val="0"/>
          <w:numId w:val="1012"/>
        </w:numPr>
        <w:pStyle w:val="Compact"/>
      </w:pPr>
      <w:r>
        <w:t xml:space="preserve">Reviewing job failures in AAP logs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roles-responsibilities"/>
      <w:r>
        <w:t xml:space="preserve">6. Roles &amp; Responsibilities</w:t>
      </w:r>
      <w:bookmarkEnd w:id="40"/>
    </w:p>
    <w:p>
      <w:pPr>
        <w:pStyle w:val="Heading3"/>
      </w:pPr>
      <w:bookmarkStart w:id="41" w:name="overview"/>
      <w:r>
        <w:t xml:space="preserve">6.1 Overview</w:t>
      </w:r>
      <w:bookmarkEnd w:id="41"/>
    </w:p>
    <w:p>
      <w:pPr>
        <w:pStyle w:val="FirstParagraph"/>
      </w:pPr>
      <w:r>
        <w:t xml:space="preserve">To maintain the integrity, security, and efficiency of My Big Company’s AAP, clearly defined roles and responsibilities ensure structured governance, technical execution, and compliance.</w:t>
      </w:r>
    </w:p>
    <w:p>
      <w:pPr>
        <w:pStyle w:val="Heading3"/>
      </w:pPr>
      <w:bookmarkStart w:id="42" w:name="key-roles"/>
      <w:r>
        <w:t xml:space="preserve">6.2 Key Roles</w:t>
      </w:r>
      <w:bookmarkEnd w:id="42"/>
    </w:p>
    <w:tbl>
      <w:tblPr>
        <w:tblStyle w:val="Table"/>
        <w:tblW w:type="pct" w:w="5000.0"/>
        <w:tblLook w:firstRow="1"/>
      </w:tblPr>
      <w:tblGrid>
        <w:gridCol w:w="896"/>
        <w:gridCol w:w="2390"/>
        <w:gridCol w:w="3138"/>
        <w:gridCol w:w="1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Responsibilities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Decision Authority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SME Area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Principal Engineer &amp; Architect (PEA)</w:t>
            </w:r>
          </w:p>
        </w:tc>
        <w:tc>
          <w:p>
            <w:pPr>
              <w:pStyle w:val="Compact"/>
              <w:jc w:val="left"/>
            </w:pPr>
            <w:r>
              <w:t xml:space="preserve">- Define AAP governance, policies, and architecture.</w:t>
            </w:r>
            <w:r>
              <w:t xml:space="preserve">- Approve all runbooks, procedures, and best practices.</w:t>
            </w:r>
            <w:r>
              <w:t xml:space="preserve">- Establish compliance, security, and operational standards.</w:t>
            </w:r>
            <w:r>
              <w:t xml:space="preserve">- Align AAP with broader IT and business strategy.</w:t>
            </w:r>
          </w:p>
        </w:tc>
        <w:tc>
          <w:p>
            <w:pPr>
              <w:pStyle w:val="Compact"/>
              <w:jc w:val="left"/>
            </w:pPr>
            <w:r>
              <w:t xml:space="preserve">Final authority on governance, architecture, and operational procedures.</w:t>
            </w:r>
          </w:p>
        </w:tc>
        <w:tc>
          <w:p>
            <w:pPr>
              <w:pStyle w:val="Compact"/>
              <w:jc w:val="left"/>
            </w:pPr>
            <w:r>
              <w:t xml:space="preserve">Governance, architecture, security, compliance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AAP Engineer</w:t>
            </w:r>
          </w:p>
        </w:tc>
        <w:tc>
          <w:p>
            <w:pPr>
              <w:pStyle w:val="Compact"/>
              <w:jc w:val="left"/>
            </w:pPr>
            <w:r>
              <w:t xml:space="preserve">- Implement AAP configurations, execute technical builds.</w:t>
            </w:r>
            <w:r>
              <w:t xml:space="preserve">- Deploy and maintain Execution Environments (EEs).</w:t>
            </w:r>
            <w:r>
              <w:t xml:space="preserve">- Troubleshoot job execution issues.</w:t>
            </w:r>
            <w:r>
              <w:t xml:space="preserve">- Manage day-to-day platform operations.</w:t>
            </w:r>
          </w:p>
        </w:tc>
        <w:tc>
          <w:p>
            <w:pPr>
              <w:pStyle w:val="Compact"/>
              <w:jc w:val="left"/>
            </w:pPr>
            <w:r>
              <w:t xml:space="preserve">Executes technical tasks within established governance.</w:t>
            </w:r>
          </w:p>
        </w:tc>
        <w:tc>
          <w:p>
            <w:pPr>
              <w:pStyle w:val="Compact"/>
              <w:jc w:val="left"/>
            </w:pPr>
            <w:r>
              <w:t xml:space="preserve">Technical SME for AAP operations and configurations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Administrator</w:t>
            </w:r>
          </w:p>
        </w:tc>
        <w:tc>
          <w:p>
            <w:pPr>
              <w:pStyle w:val="Compact"/>
              <w:jc w:val="left"/>
            </w:pPr>
            <w:r>
              <w:t xml:space="preserve">- Manage platform-wide settings and user access.</w:t>
            </w:r>
            <w:r>
              <w:t xml:space="preserve">- Ensure AAP is operational and compliant.</w:t>
            </w:r>
            <w:r>
              <w:t xml:space="preserve">- Oversee inventory and credential security.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control over AAP infrastructure.</w:t>
            </w:r>
          </w:p>
        </w:tc>
        <w:tc>
          <w:p>
            <w:pPr>
              <w:pStyle w:val="Compact"/>
              <w:jc w:val="left"/>
            </w:pPr>
            <w:r>
              <w:t xml:space="preserve">Platform maintenance, access control, security policies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Operator</w:t>
            </w:r>
          </w:p>
        </w:tc>
        <w:tc>
          <w:p>
            <w:pPr>
              <w:pStyle w:val="Compact"/>
              <w:jc w:val="left"/>
            </w:pPr>
            <w:r>
              <w:t xml:space="preserve">- Execute approved automation workflows.</w:t>
            </w:r>
            <w:r>
              <w:t xml:space="preserve">- Report issues and provide operational feedback.</w:t>
            </w:r>
          </w:p>
        </w:tc>
        <w:tc>
          <w:p>
            <w:pPr>
              <w:pStyle w:val="Compact"/>
              <w:jc w:val="left"/>
            </w:pPr>
            <w:r>
              <w:t xml:space="preserve">Executes but does not modify workflows.</w:t>
            </w:r>
          </w:p>
        </w:tc>
        <w:tc>
          <w:p>
            <w:pPr>
              <w:pStyle w:val="Compact"/>
              <w:jc w:val="left"/>
            </w:pPr>
            <w:r>
              <w:t xml:space="preserve">Job execution and automation workflows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Auditor</w:t>
            </w:r>
          </w:p>
        </w:tc>
        <w:tc>
          <w:p>
            <w:pPr>
              <w:pStyle w:val="Compact"/>
              <w:jc w:val="left"/>
            </w:pPr>
            <w:r>
              <w:t xml:space="preserve">- Monitor compliance, security adherence, and audit logs.</w:t>
            </w:r>
            <w:r>
              <w:t xml:space="preserve">- Ensure governance policies are being followed.</w:t>
            </w:r>
          </w:p>
        </w:tc>
        <w:tc>
          <w:p>
            <w:pPr>
              <w:pStyle w:val="Compact"/>
              <w:jc w:val="left"/>
            </w:pPr>
            <w:r>
              <w:t xml:space="preserve">Read-only access for auditing and compliance.</w:t>
            </w:r>
          </w:p>
        </w:tc>
        <w:tc>
          <w:p>
            <w:pPr>
              <w:pStyle w:val="Compact"/>
              <w:jc w:val="left"/>
            </w:pPr>
            <w:r>
              <w:t xml:space="preserve">Compliance, security adherence, reporting</w:t>
            </w:r>
          </w:p>
        </w:tc>
      </w:tr>
    </w:tbl>
    <w:p>
      <w:pPr>
        <w:pStyle w:val="Heading3"/>
      </w:pPr>
      <w:bookmarkStart w:id="43" w:name="governance-and-decision-making-authority"/>
      <w:r>
        <w:t xml:space="preserve">6.3 Governance and Decision-Making Authority</w:t>
      </w:r>
      <w:bookmarkEnd w:id="43"/>
    </w:p>
    <w:p>
      <w:pPr>
        <w:numPr>
          <w:ilvl w:val="0"/>
          <w:numId w:val="1013"/>
        </w:numPr>
        <w:pStyle w:val="Compact"/>
      </w:pPr>
      <w:r>
        <w:t xml:space="preserve">Final approval on architecture, governance, and procedures resides with the Principal Engineer &amp; Architect.</w:t>
      </w:r>
    </w:p>
    <w:p>
      <w:pPr>
        <w:numPr>
          <w:ilvl w:val="0"/>
          <w:numId w:val="1013"/>
        </w:numPr>
        <w:pStyle w:val="Compact"/>
      </w:pPr>
      <w:r>
        <w:t xml:space="preserve">Technical implementation of approved procedures and governance is the responsibility of the AAP Engineer.</w:t>
      </w:r>
    </w:p>
    <w:p>
      <w:pPr>
        <w:numPr>
          <w:ilvl w:val="0"/>
          <w:numId w:val="1013"/>
        </w:numPr>
        <w:pStyle w:val="Compact"/>
      </w:pPr>
      <w:r>
        <w:t xml:space="preserve">All changes, deployments, and modifications must follow the established approval workflow and security policies.</w:t>
      </w:r>
    </w:p>
    <w:p>
      <w:pPr>
        <w:pStyle w:val="Heading3"/>
      </w:pPr>
      <w:bookmarkStart w:id="44" w:name="approval-workflow"/>
      <w:r>
        <w:t xml:space="preserve">6.4 Approval Workflow</w:t>
      </w:r>
      <w:bookmarkEnd w:id="44"/>
    </w:p>
    <w:p>
      <w:pPr>
        <w:pStyle w:val="Heading4"/>
      </w:pPr>
      <w:bookmarkStart w:id="45" w:name="X9b2792b28ac0f3024474f13c1282e16a9aac2e2"/>
      <w:r>
        <w:t xml:space="preserve">Significant Change Requests &amp; New Implementations</w:t>
      </w:r>
      <w:bookmarkEnd w:id="45"/>
    </w:p>
    <w:p>
      <w:pPr>
        <w:numPr>
          <w:ilvl w:val="0"/>
          <w:numId w:val="1014"/>
        </w:numPr>
        <w:pStyle w:val="Compact"/>
      </w:pPr>
      <w:r>
        <w:t xml:space="preserve">Changes impacting security, compliance, or architecture must be reviewed and approved by the Principal Engineer &amp; Architect before execution.</w:t>
      </w:r>
    </w:p>
    <w:p>
      <w:pPr>
        <w:numPr>
          <w:ilvl w:val="0"/>
          <w:numId w:val="1014"/>
        </w:numPr>
        <w:pStyle w:val="Compact"/>
      </w:pPr>
      <w:r>
        <w:t xml:space="preserve">Examples include new governance frameworks, major RBAC modifications, or infrastructure-wide automation updates.</w:t>
      </w:r>
    </w:p>
    <w:p>
      <w:pPr>
        <w:pStyle w:val="Heading4"/>
      </w:pPr>
      <w:bookmarkStart w:id="46" w:name="minor-process-or-workflow-modifications"/>
      <w:r>
        <w:t xml:space="preserve">Minor Process or Workflow Modifications</w:t>
      </w:r>
      <w:bookmarkEnd w:id="46"/>
    </w:p>
    <w:p>
      <w:pPr>
        <w:numPr>
          <w:ilvl w:val="0"/>
          <w:numId w:val="1015"/>
        </w:numPr>
        <w:pStyle w:val="Compact"/>
      </w:pPr>
      <w:r>
        <w:t xml:space="preserve">Updates that do not impact security, compliance, or architecture (e.g., minor optimizations, updates to non-governance job templates) may be reviewed and approved by the AAP Engineer or Platform Administrator.</w:t>
      </w:r>
    </w:p>
    <w:p>
      <w:pPr>
        <w:pStyle w:val="Heading4"/>
      </w:pPr>
      <w:bookmarkStart w:id="47" w:name="technical-deployments"/>
      <w:r>
        <w:t xml:space="preserve">Technical Deployments</w:t>
      </w:r>
      <w:bookmarkEnd w:id="47"/>
    </w:p>
    <w:p>
      <w:pPr>
        <w:numPr>
          <w:ilvl w:val="0"/>
          <w:numId w:val="1016"/>
        </w:numPr>
        <w:pStyle w:val="Compact"/>
      </w:pPr>
      <w:r>
        <w:t xml:space="preserve">AAP Engineer executes approved tasks based on defined architecture and governance policies.</w:t>
      </w:r>
    </w:p>
    <w:p>
      <w:pPr>
        <w:pStyle w:val="Heading4"/>
      </w:pPr>
      <w:bookmarkStart w:id="48" w:name="compliance-security-audits"/>
      <w:r>
        <w:t xml:space="preserve">Compliance &amp; Security Audits</w:t>
      </w:r>
      <w:bookmarkEnd w:id="48"/>
    </w:p>
    <w:p>
      <w:pPr>
        <w:numPr>
          <w:ilvl w:val="0"/>
          <w:numId w:val="1017"/>
        </w:numPr>
        <w:pStyle w:val="Compact"/>
      </w:pPr>
      <w:r>
        <w:t xml:space="preserve">Conducted periodically by Platform Auditors to ensure adherence to security and operational guidelines.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2025-02-12T04:40:32Z</dcterms:created>
  <dcterms:modified xsi:type="dcterms:W3CDTF">2025-02-12T04:40:32Z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