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br/>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573a6b9d879da14b4004247b13f1339ab4e51cd"/>
      <w:r>
        <w:t xml:space="preserve">Red Hat Ansible Automation Platform (AAP) Policy &amp;</w:t>
      </w:r>
      <w:bookmarkEnd w:id="20"/>
    </w:p>
    <w:p>
      <w:r>
        <w:pict>
          <v:rect style="width:0;height:1.5pt" o:hralign="center" o:hrstd="t" o:hr="t"/>
        </w:pict>
      </w:r>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 (Stabilize the Environment, Drive Process Efficiencies, Develop Talent, Deliver Emerging Technologies, and Manage Cost).</w:t>
      </w:r>
    </w:p>
    <w:p>
      <w:pPr>
        <w:pStyle w:val="BodyText"/>
      </w:pPr>
      <w:r>
        <w:t xml:space="preserve">Our governance framework enforces strict RBAC policies through SECU security standards to ensure only authorized personnel can create, modify, or execute automation workflows. This control extends beyond basic access management through comprehensive auditing policies that track job executions, access modifications, and automation changes. These measures ensure compliance with both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p>
    <w:p>
      <w:r>
        <w:pict>
          <v:rect style="width:0;height:1.5pt" o:hralign="center" o:hrstd="t" o:hr="t"/>
        </w:pict>
      </w:r>
    </w:p>
    <w:p>
      <w:pPr>
        <w:pStyle w:val="Heading1"/>
      </w:pPr>
      <w:bookmarkStart w:id="25" w:name="aap-architecture-execution-model"/>
      <w:r>
        <w:t xml:space="preserve">AAP Architecture &amp; Execution Model</w:t>
      </w:r>
      <w:bookmarkEnd w:id="25"/>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w:t>
      </w:r>
      <w:r>
        <w:t xml:space="preserve">‘</w:t>
      </w:r>
      <w:r>
        <w:t xml:space="preserve">SECU security standards</w:t>
      </w:r>
      <w:r>
        <w:t xml:space="preserve">’</w:t>
      </w:r>
      <w:r>
        <w:t xml:space="preserve">] protocols. After validation, the Controller retrieves the necessary inventory from Red Hat Satellite, Ansible Inventory and credentials from CyberArk before dispatching the job to an appropriate Execution Node.</w:t>
      </w:r>
    </w:p>
    <w:p>
      <w:pPr>
        <w:pStyle w:val="BodyText"/>
      </w:pPr>
      <w:r>
        <w:t xml:space="preserve">The Execution Node then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p>
    <w:p>
      <w:pPr>
        <w:pStyle w:val="Heading2"/>
      </w:pPr>
      <w:bookmarkStart w:id="26" w:name="definition-of-key-concepts"/>
      <w:r>
        <w:t xml:space="preserve">Definition of Key Concepts</w:t>
      </w:r>
      <w:bookmarkEnd w:id="26"/>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CyberArk.</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ensuring standardized automation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7" w:name="X5bb64ac27dc81352b88db378dcbe9468fcb6f95"/>
      <w:r>
        <w:t xml:space="preserve">3. AAP Organizations &amp; Role-Based Access Model</w:t>
      </w:r>
      <w:bookmarkEnd w:id="27"/>
    </w:p>
    <w:p>
      <w:pPr>
        <w:pStyle w:val="FirstParagraph"/>
      </w:pPr>
      <w:r>
        <w:t xml:space="preserve">Our AAP implementation uses a deliberate two-organization structure that balances security with operational efficiency. The develop 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main</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 through Github Actions with our Build, Test, Deploy pipeline.</w:t>
      </w:r>
    </w:p>
    <w:p>
      <w:pPr>
        <w:pStyle w:val="BodyText"/>
      </w:pPr>
      <w:r>
        <w:t xml:space="preserve">This model delivers several key benefits:</w:t>
      </w:r>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Heading2"/>
      </w:pPr>
      <w:bookmarkStart w:id="28" w:name="organization-structure"/>
      <w:r>
        <w:t xml:space="preserve">Organization Structure</w:t>
      </w:r>
      <w:bookmarkEnd w:id="28"/>
    </w:p>
    <w:p>
      <w:pPr>
        <w:numPr>
          <w:ilvl w:val="0"/>
          <w:numId w:val="1004"/>
        </w:numPr>
        <w:pStyle w:val="Compact"/>
      </w:pPr>
      <w:r>
        <w:rPr>
          <w:b/>
        </w:rPr>
        <w:t xml:space="preserve">develop</w:t>
      </w:r>
      <w:r>
        <w:t xml:space="preserve">: 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main</w:t>
      </w:r>
      <w:r>
        <w:t xml:space="preserve"> </w:t>
      </w:r>
      <w:r>
        <w:t xml:space="preserve">organization within the context of AAP.</w:t>
      </w:r>
    </w:p>
    <w:p>
      <w:pPr>
        <w:numPr>
          <w:ilvl w:val="0"/>
          <w:numId w:val="1004"/>
        </w:numPr>
        <w:pStyle w:val="Compact"/>
      </w:pPr>
      <w:r>
        <w:rPr>
          <w:b/>
        </w:rPr>
        <w:t xml:space="preserve">main</w:t>
      </w:r>
      <w:r>
        <w:t xml:space="preserve">: Used for testing and validating playbooks before production deployment, explicitly tied to a sandbox environment.</w:t>
      </w:r>
    </w:p>
    <w:p>
      <w:pPr>
        <w:pStyle w:val="Heading2"/>
      </w:pPr>
      <w:bookmarkStart w:id="29" w:name="why-this-model"/>
      <w:r>
        <w:t xml:space="preserve">Why This Model?</w:t>
      </w:r>
      <w:bookmarkEnd w:id="29"/>
    </w:p>
    <w:p>
      <w:pPr>
        <w:numPr>
          <w:ilvl w:val="0"/>
          <w:numId w:val="1005"/>
        </w:numPr>
        <w:pStyle w:val="Compact"/>
      </w:pPr>
      <w:r>
        <w:rPr>
          <w:b/>
        </w:rPr>
        <w:t xml:space="preserve">Simplicity &amp; Scalability</w:t>
      </w:r>
      <w:r>
        <w:t xml:space="preserve">: Avoids redundant team-based orgs.</w:t>
      </w:r>
    </w:p>
    <w:p>
      <w:pPr>
        <w:numPr>
          <w:ilvl w:val="0"/>
          <w:numId w:val="1005"/>
        </w:numPr>
        <w:pStyle w:val="Compact"/>
      </w:pPr>
      <w:r>
        <w:rPr>
          <w:b/>
        </w:rPr>
        <w:t xml:space="preserve">Code &amp; Automation Parity</w:t>
      </w:r>
      <w:r>
        <w:t xml:space="preserve">: Matches Dev → Prod branching strategy.</w:t>
      </w:r>
    </w:p>
    <w:p>
      <w:pPr>
        <w:numPr>
          <w:ilvl w:val="0"/>
          <w:numId w:val="1005"/>
        </w:numPr>
        <w:pStyle w:val="Compact"/>
      </w:pPr>
      <w:r>
        <w:rPr>
          <w:b/>
        </w:rPr>
        <w:t xml:space="preserve">Transparency</w:t>
      </w:r>
      <w:r>
        <w:t xml:space="preserve">: All roles have read access to both organizations.</w:t>
      </w:r>
    </w:p>
    <w:p>
      <w:pPr>
        <w:pStyle w:val="Heading2"/>
      </w:pPr>
      <w:bookmarkStart w:id="30" w:name="team-role-definitions"/>
      <w:r>
        <w:t xml:space="preserve">Team Role Definitions</w:t>
      </w:r>
      <w:bookmarkEnd w:id="30"/>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 The following roles are defined within our AAP implementation:</w:t>
      </w:r>
      <w:r>
        <w:br/>
      </w:r>
      <w:r>
        <w:t xml:space="preserve">-</w:t>
      </w:r>
      <w:r>
        <w:t xml:space="preserve"> </w:t>
      </w:r>
      <w:r>
        <w:rPr>
          <w:b/>
        </w:rPr>
        <w:t xml:space="preserve">Authentication to AAP is exclusively through Okta</w:t>
      </w:r>
      <w:r>
        <w:t xml:space="preserve">; all users authenticate via Okta before accessing the platform.</w:t>
      </w:r>
      <w:r>
        <w:br/>
      </w:r>
      <w:r>
        <w:t xml:space="preserve">-</w:t>
      </w:r>
      <w:r>
        <w:t xml:space="preserve"> </w:t>
      </w:r>
      <w:r>
        <w:rPr>
          <w:b/>
        </w:rPr>
        <w:t xml:space="preserve">Local platform administrator accounts have strictly limited usage</w:t>
      </w:r>
      <w:r>
        <w:t xml:space="preserve">, reserved for break-glass scenarios only.</w:t>
      </w:r>
      <w:r>
        <w:br/>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p>
    <w:p>
      <w:pPr>
        <w:pStyle w:val="Heading2"/>
      </w:pPr>
      <w:bookmarkStart w:id="31" w:name="permissions-model-overview"/>
      <w:r>
        <w:t xml:space="preserve">Permissions Model Overview</w:t>
      </w:r>
      <w:bookmarkEnd w:id="31"/>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2" w:name="platform-configuration"/>
      <w:r>
        <w:t xml:space="preserve">4. Platform Configuration</w:t>
      </w:r>
      <w:bookmarkEnd w:id="32"/>
    </w:p>
    <w:p>
      <w:pPr>
        <w:pStyle w:val="FirstParagraph"/>
      </w:pPr>
      <w:r>
        <w:t xml:space="preserve">The platform configuration establishes essential operational parameters that ensure reliability, security, and performance across our automation infrastructure. Our implementation leverages F5 Big-IP for high availability, with comprehensive integration across our technology stack.</w:t>
      </w:r>
    </w:p>
    <w:p>
      <w:pPr>
        <w:pStyle w:val="Heading2"/>
      </w:pPr>
      <w:bookmarkStart w:id="33" w:name="authentication-access-control"/>
      <w:r>
        <w:t xml:space="preserve">Authentication &amp; Access Control</w:t>
      </w:r>
      <w:bookmarkEnd w:id="33"/>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SECU security standards standards.</w:t>
      </w:r>
    </w:p>
    <w:p>
      <w:pPr>
        <w:pStyle w:val="Heading2"/>
      </w:pPr>
      <w:bookmarkStart w:id="34" w:name="execution-environment-configuration"/>
      <w:r>
        <w:t xml:space="preserve">Execution Environment Configuration</w:t>
      </w:r>
      <w:bookmarkEnd w:id="34"/>
    </w:p>
    <w:p>
      <w:pPr>
        <w:pStyle w:val="FirstParagraph"/>
      </w:pPr>
      <w:r>
        <w:t xml:space="preserve">Our Execution Environment (EE) strategy emphasizes consistency and security across all automation workflows. EEs are securely hosted in quay.io/internal-registry, with standardized Python dependencies including pywinrm, requests, and pyvmomi to support our diverse automation requirements across RHEL and Windows Server environments.</w:t>
      </w:r>
    </w:p>
    <w:p>
      <w:pPr>
        <w:pStyle w:val="BodyText"/>
      </w:pPr>
      <w:r>
        <w:t xml:space="preserve">The EE lifecycle follows a structured governance model:</w:t>
      </w:r>
    </w:p>
    <w:p>
      <w:pPr>
        <w:pStyle w:val="BlockText"/>
      </w:pPr>
      <w:r>
        <w:t xml:space="preserve">Development Phase</w:t>
      </w:r>
      <w:r>
        <w:br/>
      </w:r>
      <w:r>
        <w:t xml:space="preserve">EEs begin in the main organization, where teams can safely develop and validate new configurations. During this phase, Platform Engineers utilize Ansible Builder to create and modify EEs, ensuring alignment with organization-wide automation standards.</w:t>
      </w:r>
    </w:p>
    <w:p>
      <w:pPr>
        <w:pStyle w:val="BlockText"/>
      </w:pPr>
      <w:r>
        <w:t xml:space="preserve">Validation &amp; Approval</w:t>
      </w:r>
      <w:r>
        <w:br/>
      </w: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r>
        <w:t xml:space="preserve"> </w:t>
      </w:r>
      <w:r>
        <w:rPr>
          <w:i/>
          <w:b/>
        </w:rPr>
        <w:t xml:space="preserve">Significant changes include</w:t>
      </w:r>
      <w:r>
        <w:t xml:space="preserve">:</w:t>
      </w:r>
      <w:r>
        <w:br/>
      </w:r>
      <w:r>
        <w:t xml:space="preserve">- Introduction of new dependencies</w:t>
      </w:r>
      <w:r>
        <w:br/>
      </w:r>
      <w:r>
        <w:t xml:space="preserve">- Changes to existing dependencies</w:t>
      </w:r>
      <w:r>
        <w:br/>
      </w:r>
      <w:r>
        <w:t xml:space="preserve">- Updates to Python versions</w:t>
      </w:r>
      <w:r>
        <w:br/>
      </w:r>
      <w:r>
        <w:t xml:space="preserve">- Changes to the base EE image</w:t>
      </w:r>
      <w:r>
        <w:br/>
      </w:r>
      <w:r>
        <w:t xml:space="preserve">- Changes to the EE configuration</w:t>
      </w:r>
      <w:r>
        <w:br/>
      </w:r>
      <w:r>
        <w:t xml:space="preserve">- Any other modifications that may impact security or stability</w:t>
      </w:r>
    </w:p>
    <w:p>
      <w:pPr>
        <w:pStyle w:val="BlockText"/>
      </w:pPr>
      <w:r>
        <w:t xml:space="preserve">Production Promotion</w:t>
      </w:r>
      <w:r>
        <w:br/>
      </w:r>
      <w:r>
        <w:t xml:space="preserve">Promotion to develop 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FirstParagraph"/>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35" w:name="collections-management"/>
      <w:r>
        <w:t xml:space="preserve">Collections Management</w:t>
      </w:r>
      <w:bookmarkEnd w:id="35"/>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 quay.io/internal-registry.</w:t>
      </w:r>
    </w:p>
    <w:p>
      <w:pPr>
        <w:pStyle w:val="Heading2"/>
      </w:pPr>
      <w:bookmarkStart w:id="36" w:name="inventory-management"/>
      <w:r>
        <w:t xml:space="preserve">Inventory Management</w:t>
      </w:r>
      <w:bookmarkEnd w:id="36"/>
    </w:p>
    <w:p>
      <w:pPr>
        <w:pStyle w:val="FirstParagraph"/>
      </w:pPr>
      <w:r>
        <w:t xml:space="preserve">Inventory control within AAP follows a centralized management model led by Platform Engineers. This approach ensures:</w:t>
      </w:r>
    </w:p>
    <w:p>
      <w:pPr>
        <w:numPr>
          <w:ilvl w:val="0"/>
          <w:numId w:val="1006"/>
        </w:numPr>
        <w:pStyle w:val="Compact"/>
      </w:pPr>
      <w:r>
        <w:t xml:space="preserve">Consistent access control through RBAC-driven policies</w:t>
      </w:r>
    </w:p>
    <w:p>
      <w:pPr>
        <w:numPr>
          <w:ilvl w:val="0"/>
          <w:numId w:val="1006"/>
        </w:numPr>
        <w:pStyle w:val="Compact"/>
      </w:pPr>
      <w:r>
        <w:t xml:space="preserve">Efficient resource utilization within Red Hat Satellite, Ansible Inventory</w:t>
      </w:r>
    </w:p>
    <w:p>
      <w:pPr>
        <w:numPr>
          <w:ilvl w:val="0"/>
          <w:numId w:val="1006"/>
        </w:numPr>
        <w:pStyle w:val="Compact"/>
      </w:pPr>
      <w:r>
        <w:t xml:space="preserve">Prevention of licensed host overutilization through active monitoring</w:t>
      </w:r>
    </w:p>
    <w:p>
      <w:pPr>
        <w:numPr>
          <w:ilvl w:val="0"/>
          <w:numId w:val="1006"/>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37" w:name="team-onboarding-role-integration"/>
      <w:r>
        <w:t xml:space="preserve">5. Team Onboarding &amp; Role Integration</w:t>
      </w:r>
      <w:bookmarkEnd w:id="37"/>
    </w:p>
    <w:p>
      <w:pPr>
        <w:pStyle w:val="Heading2"/>
      </w:pPr>
      <w:bookmarkStart w:id="38" w:name="access-management-framework"/>
      <w:r>
        <w:t xml:space="preserve">Access Management Framework</w:t>
      </w:r>
      <w:bookmarkEnd w:id="38"/>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Platform Engineers maintain resource assignments for specific automation components while overall identity management remains cetralized.</w:t>
      </w:r>
    </w:p>
    <w:p>
      <w:pPr>
        <w:pStyle w:val="BodyText"/>
      </w:pPr>
      <w:r>
        <w:t xml:space="preserve">Platform Administrator responsibilities include:</w:t>
      </w:r>
      <w:r>
        <w:br/>
      </w:r>
      <w:r>
        <w:t xml:space="preserve">- Managing automation resources across VMware vSphere, and Red Hat OpenShift</w:t>
      </w:r>
      <w:r>
        <w:br/>
      </w:r>
      <w:r>
        <w:t xml:space="preserve">- Overseeing integration with BMC Helix, and Digital Workplace</w:t>
      </w:r>
      <w:r>
        <w:br/>
      </w:r>
      <w:r>
        <w:t xml:space="preserve">- Ensuring compliance with SECU security standards</w:t>
      </w:r>
    </w:p>
    <w:p>
      <w:pPr>
        <w:pStyle w:val="BodyText"/>
      </w:pPr>
      <w:r>
        <w:t xml:space="preserve">Changes to access permissions require formal requests through BMC Helix, and Digital Workplace, maintaining our governance standards while supporting operational efficiency.</w:t>
      </w:r>
    </w:p>
    <w:p>
      <w:pPr>
        <w:pStyle w:val="Heading2"/>
      </w:pPr>
      <w:bookmarkStart w:id="39" w:name="permissions-model"/>
      <w:r>
        <w:t xml:space="preserve">Permissions Model</w:t>
      </w:r>
      <w:bookmarkEnd w:id="39"/>
    </w:p>
    <w:p>
      <w:pPr>
        <w:pStyle w:val="FirstParagraph"/>
      </w:pPr>
      <w:r>
        <w:t xml:space="preserve">Each team role is assigned specific permissions based on their operational responsibilities.</w:t>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(main) / Read (develop)</w:t>
            </w:r>
          </w:p>
        </w:tc>
        <w:tc>
          <w:p>
            <w:pPr>
              <w:pStyle w:val="Compact"/>
              <w:jc w:val="left"/>
            </w:pPr>
            <w:r>
              <w:t xml:space="preserve">Admin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(main) / Read (develop)</w:t>
            </w:r>
          </w:p>
        </w:tc>
        <w:tc>
          <w:p>
            <w:pPr>
              <w:pStyle w:val="Compact"/>
              <w:jc w:val="left"/>
            </w:pPr>
            <w:r>
              <w:t xml:space="preserve">Edit &amp; Execute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numPr>
          <w:ilvl w:val="0"/>
          <w:numId w:val="1007"/>
        </w:numPr>
        <w:pStyle w:val="Compact"/>
      </w:pPr>
      <w:r>
        <w:rPr>
          <w:b/>
        </w:rPr>
        <w:t xml:space="preserve">Platform Administrators assign permissions for job templates and inventories</w:t>
      </w:r>
      <w:r>
        <w:t xml:space="preserve"> </w:t>
      </w:r>
      <w:r>
        <w:t xml:space="preserve">upon creation and onboarding as part of an access change request.</w:t>
      </w:r>
    </w:p>
    <w:p>
      <w:pPr>
        <w:numPr>
          <w:ilvl w:val="0"/>
          <w:numId w:val="1007"/>
        </w:numPr>
        <w:pStyle w:val="Compact"/>
      </w:pPr>
      <w:r>
        <w:rPr>
          <w:b/>
        </w:rPr>
        <w:t xml:space="preserve">All permission changes require an access change request</w:t>
      </w:r>
      <w:r>
        <w:t xml:space="preserve"> </w:t>
      </w:r>
      <w:r>
        <w:t xml:space="preserve">to be submitted in Digital Workplace.</w:t>
      </w:r>
    </w:p>
    <w:p>
      <w:pPr>
        <w:numPr>
          <w:ilvl w:val="0"/>
          <w:numId w:val="1007"/>
        </w:numPr>
        <w:pStyle w:val="Compact"/>
      </w:pPr>
      <w:r>
        <w:rPr>
          <w:b/>
        </w:rPr>
        <w:t xml:space="preserve">Shared items across multiple teams are not allowed</w:t>
      </w:r>
      <w:r>
        <w:t xml:space="preserve"> </w:t>
      </w:r>
      <w:r>
        <w:t xml:space="preserve">unless explicitly defined as necessary under governance policies.</w:t>
      </w:r>
    </w:p>
    <w:p>
      <w:pPr>
        <w:numPr>
          <w:ilvl w:val="0"/>
          <w:numId w:val="1007"/>
        </w:numPr>
        <w:pStyle w:val="Compact"/>
      </w:pPr>
      <w:r>
        <w:rPr>
          <w:b/>
        </w:rPr>
        <w:t xml:space="preserve">Each team must conduct a code review before promoting code from Develop to Prod.</w:t>
      </w:r>
    </w:p>
    <w:p>
      <w:r>
        <w:pict>
          <v:rect style="width:0;height:1.5pt" o:hralign="center" o:hrstd="t" o:hr="t"/>
        </w:pict>
      </w:r>
    </w:p>
    <w:p>
      <w:pPr>
        <w:pStyle w:val="Heading1"/>
      </w:pPr>
      <w:bookmarkStart w:id="40" w:name="security-compliance"/>
      <w:r>
        <w:t xml:space="preserve">6. Security &amp; Compliance</w:t>
      </w:r>
      <w:bookmarkEnd w:id="40"/>
    </w:p>
    <w:p>
      <w:pPr>
        <w:pStyle w:val="FirstParagraph"/>
      </w:pPr>
      <w:r>
        <w:t xml:space="preserve">Our security framework implements comprehensive controls that protect automation assets while enabling efficient operations. The platform maintains compliance with SECU security standards standards, with regular audits conducted Quarterly.</w:t>
      </w:r>
    </w:p>
    <w:p>
      <w:pPr>
        <w:pStyle w:val="Heading2"/>
      </w:pPr>
      <w:bookmarkStart w:id="41" w:name="hardening-guidelines"/>
      <w:r>
        <w:t xml:space="preserve">Hardening Guidelines</w:t>
      </w:r>
      <w:bookmarkEnd w:id="41"/>
    </w:p>
    <w:p>
      <w:pPr>
        <w:pStyle w:val="FirstParagraph"/>
      </w:pPr>
      <w:r>
        <w:t xml:space="preserve">Our security posture encompasses multiple layers of protection:</w:t>
      </w:r>
      <w:r>
        <w:br/>
      </w:r>
      <w:r>
        <w:t xml:space="preserve">- Execution isolation through Red Hat OpenShift, and Docker</w:t>
      </w:r>
      <w:r>
        <w:br/>
      </w:r>
      <w:r>
        <w:t xml:space="preserve">- Network security managed via Cisco Fabric, and Infoblox (DNS)</w:t>
      </w:r>
      <w:r>
        <w:br/>
      </w:r>
      <w:r>
        <w:t xml:space="preserve">- Endpoint protection through Tenable, and SentinelOne</w:t>
      </w:r>
      <w:r>
        <w:br/>
      </w:r>
      <w:r>
        <w:t xml:space="preserve">- Access control via Okta, Active Directory, and SailPoint</w:t>
      </w:r>
    </w:p>
    <w:p>
      <w:pPr>
        <w:pStyle w:val="Heading2"/>
      </w:pPr>
      <w:bookmarkStart w:id="42" w:name="sensitive-data-management"/>
      <w:r>
        <w:t xml:space="preserve">Sensitive Data Management</w:t>
      </w:r>
      <w:bookmarkEnd w:id="42"/>
    </w:p>
    <w:p>
      <w:pPr>
        <w:pStyle w:val="FirstParagraph"/>
      </w:pPr>
      <w:r>
        <w:t xml:space="preserve">Credential and secret management leverages CyberArk for secure storage and controlled access. This integration ensures that sensitive data remains protected throughout the automation lifecycle while remaining accessible to authorized workflows.</w:t>
      </w:r>
    </w:p>
    <w:p>
      <w:pPr>
        <w:pStyle w:val="Heading2"/>
      </w:pPr>
      <w:bookmarkStart w:id="43" w:name="monitoring-and-compliance"/>
      <w:r>
        <w:t xml:space="preserve">Monitoring and Compliance</w:t>
      </w:r>
      <w:bookmarkEnd w:id="43"/>
    </w:p>
    <w:p>
      <w:pPr>
        <w:pStyle w:val="FirstParagraph"/>
      </w:pPr>
      <w:r>
        <w:t xml:space="preserve">Our comprehensive monitoring strategy includes:</w:t>
      </w:r>
      <w:r>
        <w:br/>
      </w:r>
      <w:r>
        <w:t xml:space="preserve">- Operational metrics tracking: Automation Coverage (%), Change Lead Time, Incident MTTR, and Configuration Drift (%)</w:t>
      </w:r>
      <w:r>
        <w:br/>
      </w:r>
      <w:r>
        <w:t xml:space="preserve">- Security event monitoring through Splunk, BMC Helix, and Red Hat Satellite</w:t>
      </w:r>
      <w:r>
        <w:br/>
      </w:r>
      <w:r>
        <w:t xml:space="preserve">- Change tracking via BMC Helix</w:t>
      </w:r>
      <w:r>
        <w:br/>
      </w:r>
      <w:r>
        <w:t xml:space="preserve">- Configuration management in Ansible Automation Platform, and GitLab</w:t>
      </w:r>
    </w:p>
    <w:p>
      <w:pPr>
        <w:pStyle w:val="BodyText"/>
      </w:pPr>
      <w:r>
        <w:t xml:space="preserve">Regular compliance reporting aligns with Quarterly audit cycles, ensuring continued adherence to our security standards and operational requirements.</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2025-02-12T12:48:17Z</dcterms:created>
  <dcterms:modified xsi:type="dcterms:W3CDTF">2025-02-12T12:48:17Z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