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623BB3">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w:t>
      </w:r>
      <w:r w:rsidR="00AE41F5" w:rsidRPr="00AE41F5">
        <w:rPr>
          <w:rFonts w:ascii="Calibri" w:eastAsia="Calibri" w:hAnsi="Calibri" w:cs="Calibri"/>
          <w:sz w:val="18"/>
          <w:szCs w:val="18"/>
        </w:rPr>
        <w:t xml:space="preserve"> </w:t>
      </w:r>
      <w:r w:rsidR="00AE41F5">
        <w:rPr>
          <w:rFonts w:ascii="Calibri" w:eastAsia="Calibri" w:hAnsi="Calibri" w:cs="Calibri"/>
          <w:sz w:val="18"/>
          <w:szCs w:val="18"/>
        </w:rPr>
        <w:t>в регионе</w:t>
      </w:r>
      <w:r w:rsidR="00AE41F5" w:rsidRPr="00AE41F5">
        <w:rPr>
          <w:rFonts w:ascii="Calibri" w:eastAsia="Calibri" w:hAnsi="Calibri" w:cs="Calibri"/>
          <w:sz w:val="18"/>
          <w:szCs w:val="18"/>
        </w:rPr>
        <w:t xml:space="preserve"> </w:t>
      </w:r>
      <w:r w:rsidR="00AE41F5" w:rsidRPr="007E58A4">
        <w:rPr>
          <w:rFonts w:ascii="Calibri" w:eastAsia="Calibri" w:hAnsi="Calibri" w:cs="Calibri"/>
          <w:sz w:val="18"/>
          <w:szCs w:val="18"/>
          <w:shd w:val="clear" w:color="auto" w:fill="F4CCCC"/>
        </w:rPr>
        <w:t>{</w:t>
      </w:r>
      <w:r w:rsidR="00AE41F5">
        <w:rPr>
          <w:rFonts w:ascii="Calibri" w:eastAsia="Calibri" w:hAnsi="Calibri" w:cs="Calibri"/>
          <w:sz w:val="18"/>
          <w:szCs w:val="18"/>
          <w:shd w:val="clear" w:color="auto" w:fill="F4CCCC"/>
          <w:lang w:val="en-US"/>
        </w:rPr>
        <w:t>REGION</w:t>
      </w:r>
      <w:r w:rsidR="00D045C6" w:rsidRPr="00D045C6">
        <w:rPr>
          <w:rFonts w:ascii="Calibri" w:eastAsia="Calibri" w:hAnsi="Calibri" w:cs="Calibri"/>
          <w:sz w:val="18"/>
          <w:szCs w:val="18"/>
          <w:shd w:val="clear" w:color="auto" w:fill="F4CCCC"/>
        </w:rPr>
        <w:t>_</w:t>
      </w:r>
      <w:r w:rsidR="00D045C6">
        <w:rPr>
          <w:rFonts w:ascii="Calibri" w:eastAsia="Calibri" w:hAnsi="Calibri" w:cs="Calibri"/>
          <w:sz w:val="18"/>
          <w:szCs w:val="18"/>
          <w:shd w:val="clear" w:color="auto" w:fill="F4CCCC"/>
          <w:lang w:val="en-US"/>
        </w:rPr>
        <w:t>NAME</w:t>
      </w:r>
      <w:r w:rsidR="00AE41F5" w:rsidRPr="007E58A4">
        <w:rPr>
          <w:rFonts w:ascii="Calibri" w:eastAsia="Calibri" w:hAnsi="Calibri" w:cs="Calibri"/>
          <w:sz w:val="18"/>
          <w:szCs w:val="18"/>
          <w:shd w:val="clear" w:color="auto" w:fill="F4CCCC"/>
        </w:rPr>
        <w:t>}</w:t>
      </w:r>
      <w:r w:rsidR="00AE41F5" w:rsidRPr="00AE41F5">
        <w:rPr>
          <w:rFonts w:ascii="Calibri" w:eastAsia="Calibri" w:hAnsi="Calibri" w:cs="Calibri"/>
          <w:sz w:val="18"/>
          <w:szCs w:val="18"/>
        </w:rPr>
        <w:t xml:space="preserve"> </w:t>
      </w:r>
      <w:r>
        <w:rPr>
          <w:rFonts w:ascii="Calibri" w:eastAsia="Calibri" w:hAnsi="Calibri" w:cs="Calibri"/>
          <w:sz w:val="18"/>
          <w:szCs w:val="18"/>
        </w:rPr>
        <w:t>Интернет-сайта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r>
        <w:rPr>
          <w:rFonts w:ascii="Calibri" w:eastAsia="Calibri" w:hAnsi="Calibri" w:cs="Calibri"/>
          <w:color w:val="000000"/>
          <w:sz w:val="18"/>
          <w:szCs w:val="18"/>
        </w:rPr>
        <w:br/>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Default="00027648">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EC1DA0"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color w:val="000000"/>
          <w:sz w:val="18"/>
          <w:szCs w:val="18"/>
        </w:rPr>
        <w:br/>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w:t>
      </w:r>
      <w:r>
        <w:rPr>
          <w:rFonts w:ascii="Calibri" w:eastAsia="Calibri" w:hAnsi="Calibri" w:cs="Calibri"/>
          <w:color w:val="000000"/>
          <w:sz w:val="18"/>
          <w:szCs w:val="18"/>
        </w:rPr>
        <w:lastRenderedPageBreak/>
        <w:t xml:space="preserve">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EC1DA0" w:rsidRDefault="00027648" w:rsidP="007E58A4">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sidR="007E58A4">
        <w:rPr>
          <w:rFonts w:ascii="Calibri" w:eastAsia="Calibri" w:hAnsi="Calibri" w:cs="Calibri"/>
          <w:sz w:val="18"/>
          <w:szCs w:val="18"/>
          <w:lang w:val="en-US"/>
        </w:rPr>
        <w:t>{EDO_2}</w:t>
      </w:r>
    </w:p>
    <w:p w:rsidR="00EC1DA0" w:rsidRPr="007E58A4" w:rsidRDefault="007E58A4">
      <w:pPr>
        <w:jc w:val="both"/>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{WRITE_BY_HAND}</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 xml:space="preserve"> {FIO_DIRECTOR}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bookmarkStart w:id="1" w:name="_GoBack"/>
      <w:bookmarkEnd w:id="1"/>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EC1DA0" w:rsidRPr="009A068C" w:rsidRDefault="00027648" w:rsidP="009A068C">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 xml:space="preserve">2.2.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proofErr w:type="gramStart"/>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w:t>
      </w:r>
      <w:proofErr w:type="gramEnd"/>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lastRenderedPageBreak/>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222" w:rsidRDefault="00290222">
      <w:r>
        <w:separator/>
      </w:r>
    </w:p>
  </w:endnote>
  <w:endnote w:type="continuationSeparator" w:id="0">
    <w:p w:rsidR="00290222" w:rsidRDefault="0029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222" w:rsidRDefault="00290222">
      <w:r>
        <w:separator/>
      </w:r>
    </w:p>
  </w:footnote>
  <w:footnote w:type="continuationSeparator" w:id="0">
    <w:p w:rsidR="00290222" w:rsidRDefault="002902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105543"/>
    <w:rsid w:val="00180DE2"/>
    <w:rsid w:val="00187E13"/>
    <w:rsid w:val="001B15F8"/>
    <w:rsid w:val="0021646D"/>
    <w:rsid w:val="00290222"/>
    <w:rsid w:val="002E2EAF"/>
    <w:rsid w:val="00342F82"/>
    <w:rsid w:val="003435D1"/>
    <w:rsid w:val="00371B34"/>
    <w:rsid w:val="00374E68"/>
    <w:rsid w:val="003845A4"/>
    <w:rsid w:val="003875C6"/>
    <w:rsid w:val="003B5AA5"/>
    <w:rsid w:val="004100B1"/>
    <w:rsid w:val="00415ACA"/>
    <w:rsid w:val="004250B1"/>
    <w:rsid w:val="004518EF"/>
    <w:rsid w:val="004A23E5"/>
    <w:rsid w:val="004D7C85"/>
    <w:rsid w:val="0050385A"/>
    <w:rsid w:val="005111F2"/>
    <w:rsid w:val="005122EA"/>
    <w:rsid w:val="0055420E"/>
    <w:rsid w:val="00570582"/>
    <w:rsid w:val="005919CC"/>
    <w:rsid w:val="005C3DC0"/>
    <w:rsid w:val="005D20F6"/>
    <w:rsid w:val="006146F2"/>
    <w:rsid w:val="00623BB3"/>
    <w:rsid w:val="00647FDA"/>
    <w:rsid w:val="006A16D1"/>
    <w:rsid w:val="006B3482"/>
    <w:rsid w:val="006B63C2"/>
    <w:rsid w:val="006E0F75"/>
    <w:rsid w:val="00704FC4"/>
    <w:rsid w:val="007128BD"/>
    <w:rsid w:val="0075270D"/>
    <w:rsid w:val="00754398"/>
    <w:rsid w:val="007E58A4"/>
    <w:rsid w:val="0080735E"/>
    <w:rsid w:val="00850F23"/>
    <w:rsid w:val="009778E2"/>
    <w:rsid w:val="009A068C"/>
    <w:rsid w:val="009A215B"/>
    <w:rsid w:val="009A3010"/>
    <w:rsid w:val="009D64B9"/>
    <w:rsid w:val="009D7575"/>
    <w:rsid w:val="009F7A82"/>
    <w:rsid w:val="00A27CC3"/>
    <w:rsid w:val="00A514EA"/>
    <w:rsid w:val="00A53963"/>
    <w:rsid w:val="00A62D75"/>
    <w:rsid w:val="00A66570"/>
    <w:rsid w:val="00A70791"/>
    <w:rsid w:val="00AD4D0F"/>
    <w:rsid w:val="00AD52FF"/>
    <w:rsid w:val="00AE2C96"/>
    <w:rsid w:val="00AE41F5"/>
    <w:rsid w:val="00B320E9"/>
    <w:rsid w:val="00B94167"/>
    <w:rsid w:val="00BE284C"/>
    <w:rsid w:val="00C17511"/>
    <w:rsid w:val="00C37BBA"/>
    <w:rsid w:val="00C53FCE"/>
    <w:rsid w:val="00C71011"/>
    <w:rsid w:val="00CA492B"/>
    <w:rsid w:val="00CB1955"/>
    <w:rsid w:val="00CC66DA"/>
    <w:rsid w:val="00D045C6"/>
    <w:rsid w:val="00D05339"/>
    <w:rsid w:val="00D16B2F"/>
    <w:rsid w:val="00D474EA"/>
    <w:rsid w:val="00D914AC"/>
    <w:rsid w:val="00DE24F3"/>
    <w:rsid w:val="00E362FE"/>
    <w:rsid w:val="00E4077D"/>
    <w:rsid w:val="00E519F6"/>
    <w:rsid w:val="00E83623"/>
    <w:rsid w:val="00E917A8"/>
    <w:rsid w:val="00EC1DA0"/>
    <w:rsid w:val="00F01222"/>
    <w:rsid w:val="00F10803"/>
    <w:rsid w:val="00F164FA"/>
    <w:rsid w:val="00F51AD8"/>
    <w:rsid w:val="00F9534D"/>
    <w:rsid w:val="00FA1580"/>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C589"/>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3272</Words>
  <Characters>18653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68</cp:revision>
  <dcterms:created xsi:type="dcterms:W3CDTF">2024-04-15T22:55:00Z</dcterms:created>
  <dcterms:modified xsi:type="dcterms:W3CDTF">2024-05-25T18:16:00Z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