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tc>
          <w:tcPr>
            <w:tcW w:w="4817" w:type="dxa"/>
            <w:tcMar>
              <w:top w:w="0" w:type="dxa"/>
              <w:left w:w="0" w:type="dxa"/>
              <w:bottom w:w="0" w:type="dxa"/>
              <w:right w:w="0" w:type="dxa"/>
            </w:tcMar>
          </w:tcPr>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222BA">
      <w:pPr>
        <w:pBdr>
          <w:top w:val="nil"/>
          <w:left w:val="nil"/>
          <w:bottom w:val="nil"/>
          <w:right w:val="nil"/>
          <w:between w:val="nil"/>
        </w:pBdr>
        <w:jc w:val="both"/>
        <w:rPr>
          <w:rFonts w:ascii="Calibri" w:eastAsia="Calibri" w:hAnsi="Calibri" w:cs="Calibri"/>
          <w:color w:val="000000"/>
          <w:sz w:val="18"/>
          <w:szCs w:val="18"/>
        </w:rPr>
      </w:pP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r w:rsidRPr="00252467">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9E4E2D" w:rsidRPr="009E4E2D">
        <w:rPr>
          <w:rFonts w:ascii="Calibri" w:eastAsia="Calibri" w:hAnsi="Calibri" w:cs="Calibri"/>
          <w:color w:val="000000"/>
          <w:sz w:val="18"/>
          <w:szCs w:val="18"/>
        </w:rPr>
        <w:t xml:space="preserve">по поисковой оптимизации </w:t>
      </w:r>
      <w:r w:rsidR="009E4E2D" w:rsidRPr="009E4E2D">
        <w:rPr>
          <w:rFonts w:ascii="Calibri" w:eastAsia="Calibri" w:hAnsi="Calibri" w:cs="Calibri"/>
          <w:color w:val="000000"/>
          <w:sz w:val="18"/>
          <w:szCs w:val="18"/>
          <w:lang w:val="en-US"/>
        </w:rPr>
        <w:t>web</w:t>
      </w:r>
      <w:r w:rsidR="00BA5878">
        <w:rPr>
          <w:rFonts w:ascii="Calibri" w:eastAsia="Calibri" w:hAnsi="Calibri" w:cs="Calibri"/>
          <w:color w:val="000000"/>
          <w:sz w:val="18"/>
          <w:szCs w:val="18"/>
        </w:rPr>
        <w:t>-страниц сайтов</w:t>
      </w:r>
      <w:bookmarkStart w:id="0" w:name="_GoBack"/>
      <w:bookmarkEnd w:id="0"/>
      <w:r w:rsidR="009E4E2D" w:rsidRPr="009E4E2D">
        <w:rPr>
          <w:rFonts w:ascii="Calibri" w:eastAsia="Calibri" w:hAnsi="Calibri" w:cs="Calibri"/>
          <w:color w:val="000000"/>
          <w:sz w:val="18"/>
          <w:szCs w:val="18"/>
        </w:rPr>
        <w:t xml:space="preserve">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почте/Telegram,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rsidR="004226A9" w:rsidRDefault="004226A9">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3222BA" w:rsidRDefault="003F4725">
      <w:pPr>
        <w:rPr>
          <w:rFonts w:ascii="Calibri" w:eastAsia="Calibri" w:hAnsi="Calibri" w:cs="Calibri"/>
          <w:sz w:val="18"/>
          <w:szCs w:val="18"/>
        </w:rPr>
      </w:pPr>
      <w:r>
        <w:rPr>
          <w:rFonts w:ascii="Calibri" w:eastAsia="Calibri" w:hAnsi="Calibri" w:cs="Calibri"/>
          <w:sz w:val="18"/>
          <w:szCs w:val="18"/>
        </w:rPr>
        <w:t xml:space="preserve">2.4.4. Заказчик несет ответственность за действия Исполнителя перед надлежащим правообладателем Интернет-сайта, в </w:t>
      </w:r>
      <w:r>
        <w:rPr>
          <w:rFonts w:ascii="Calibri" w:eastAsia="Calibri" w:hAnsi="Calibri" w:cs="Calibri"/>
          <w:sz w:val="18"/>
          <w:szCs w:val="18"/>
        </w:rPr>
        <w:lastRenderedPageBreak/>
        <w:t>случае если Заказчик и правообладатель – разные лица.</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143A9A" w:rsidRDefault="00143A9A">
      <w:pPr>
        <w:pBdr>
          <w:top w:val="nil"/>
          <w:left w:val="nil"/>
          <w:bottom w:val="nil"/>
          <w:right w:val="nil"/>
          <w:between w:val="nil"/>
        </w:pBdr>
        <w:rPr>
          <w:rFonts w:ascii="Calibri" w:eastAsia="Calibri" w:hAnsi="Calibri" w:cs="Calibri"/>
          <w:sz w:val="18"/>
          <w:szCs w:val="18"/>
        </w:rPr>
      </w:pPr>
    </w:p>
    <w:p w:rsidR="003222BA" w:rsidRDefault="003F4725">
      <w:pPr>
        <w:rPr>
          <w:rFonts w:ascii="Calibri" w:eastAsia="Calibri" w:hAnsi="Calibri" w:cs="Calibri"/>
          <w:b/>
          <w:sz w:val="18"/>
          <w:szCs w:val="18"/>
        </w:rPr>
      </w:pPr>
      <w:r>
        <w:rPr>
          <w:rFonts w:ascii="Calibri" w:eastAsia="Calibri" w:hAnsi="Calibri" w:cs="Calibri"/>
          <w:b/>
          <w:sz w:val="18"/>
          <w:szCs w:val="18"/>
        </w:rPr>
        <w:t>4. Анкоры и страницы</w:t>
      </w:r>
    </w:p>
    <w:p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rsidR="00D07F93" w:rsidRDefault="00D07F93" w:rsidP="00D07F93">
      <w:pP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_1}</w:t>
      </w:r>
      <w:r w:rsidR="00F3045F" w:rsidRPr="00F3045F">
        <w:rPr>
          <w:rFonts w:ascii="Calibri" w:eastAsia="Calibri" w:hAnsi="Calibri" w:cs="Calibri"/>
          <w:sz w:val="18"/>
          <w:szCs w:val="18"/>
          <w:shd w:val="clear" w:color="auto" w:fill="F1C232"/>
        </w:rPr>
        <w:t>{</w:t>
      </w:r>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 Исполнитель возвращает Заказчику оплаченные суммы за период невыполнения работ.</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3222BA" w:rsidRPr="0068374D" w:rsidRDefault="003F4725" w:rsidP="0068374D">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w:t>
      </w:r>
      <w:r w:rsidR="0068374D" w:rsidRPr="0068374D">
        <w:rPr>
          <w:rFonts w:ascii="Calibri" w:eastAsia="Calibri" w:hAnsi="Calibri" w:cs="Calibri"/>
          <w:color w:val="000000"/>
          <w:sz w:val="18"/>
          <w:szCs w:val="18"/>
        </w:rPr>
        <w:t xml:space="preserve"> </w:t>
      </w:r>
      <w:r w:rsidR="00F3045F" w:rsidRPr="009F7EB0">
        <w:rPr>
          <w:rFonts w:ascii="Calibri" w:eastAsia="Calibri" w:hAnsi="Calibri" w:cs="Calibri"/>
          <w:sz w:val="18"/>
          <w:szCs w:val="18"/>
          <w:highlight w:val="yellow"/>
          <w:lang w:val="en-US"/>
        </w:rPr>
        <w:t>{</w:t>
      </w:r>
      <w:r w:rsidR="00F3045F">
        <w:rPr>
          <w:rFonts w:ascii="Calibri" w:eastAsia="Calibri" w:hAnsi="Calibri" w:cs="Calibri"/>
          <w:sz w:val="18"/>
          <w:szCs w:val="18"/>
          <w:highlight w:val="yellow"/>
          <w:lang w:val="en-US"/>
        </w:rPr>
        <w:t>EDO</w:t>
      </w:r>
      <w:r w:rsidR="00F3045F" w:rsidRPr="009F7EB0">
        <w:rPr>
          <w:rFonts w:ascii="Calibri" w:eastAsia="Calibri" w:hAnsi="Calibri" w:cs="Calibri"/>
          <w:sz w:val="18"/>
          <w:szCs w:val="18"/>
          <w:highlight w:val="yellow"/>
          <w:lang w:val="en-US"/>
        </w:rPr>
        <w:t>_2}{</w:t>
      </w:r>
      <w:r w:rsidR="00F3045F">
        <w:rPr>
          <w:rFonts w:ascii="Calibri" w:eastAsia="Calibri" w:hAnsi="Calibri" w:cs="Calibri"/>
          <w:sz w:val="18"/>
          <w:szCs w:val="18"/>
          <w:highlight w:val="yellow"/>
          <w:lang w:val="en-US"/>
        </w:rPr>
        <w:t>WRITE</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BY</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HAND</w:t>
      </w:r>
      <w:r w:rsidR="00F3045F" w:rsidRPr="009F7EB0">
        <w:rPr>
          <w:rFonts w:ascii="Calibri" w:eastAsia="Calibri" w:hAnsi="Calibri" w:cs="Calibri"/>
          <w:sz w:val="18"/>
          <w:szCs w:val="18"/>
          <w:highlight w:val="yellow"/>
          <w:lang w:val="en-US"/>
        </w:rPr>
        <w:t>}</w:t>
      </w:r>
    </w:p>
    <w:p w:rsidR="003222BA" w:rsidRPr="009F7EB0" w:rsidRDefault="003222BA" w:rsidP="00223BA2">
      <w:pPr>
        <w:pBdr>
          <w:top w:val="nil"/>
          <w:left w:val="nil"/>
          <w:bottom w:val="nil"/>
          <w:right w:val="nil"/>
          <w:between w:val="nil"/>
        </w:pBdr>
        <w:jc w:val="both"/>
        <w:rPr>
          <w:rFonts w:ascii="Calibri" w:eastAsia="Calibri" w:hAnsi="Calibri" w:cs="Calibri"/>
          <w:color w:val="000000"/>
          <w:sz w:val="18"/>
          <w:szCs w:val="18"/>
          <w:lang w:val="en-US"/>
        </w:rPr>
      </w:pPr>
    </w:p>
    <w:p w:rsidR="003222BA" w:rsidRDefault="003F4725">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tc>
          <w:tcPr>
            <w:tcW w:w="4106" w:type="dxa"/>
            <w:vAlign w:val="center"/>
          </w:tcPr>
          <w:p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3222BA" w:rsidRDefault="003222BA">
            <w:pPr>
              <w:rPr>
                <w:rFonts w:ascii="Calibri" w:eastAsia="Calibri" w:hAnsi="Calibri" w:cs="Calibri"/>
                <w:b/>
                <w:color w:val="000000"/>
                <w:sz w:val="18"/>
                <w:szCs w:val="18"/>
              </w:rPr>
            </w:pPr>
          </w:p>
        </w:tc>
      </w:tr>
      <w:tr w:rsidR="003222BA">
        <w:trPr>
          <w:trHeight w:val="557"/>
        </w:trPr>
        <w:tc>
          <w:tcPr>
            <w:tcW w:w="4106" w:type="dxa"/>
          </w:tcPr>
          <w:p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rsidR="003222BA" w:rsidRPr="007A5D4D" w:rsidRDefault="008B2611" w:rsidP="008B2611">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3F4725"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003F4725" w:rsidRPr="007A5D4D">
              <w:rPr>
                <w:rFonts w:ascii="Calibri" w:eastAsia="Calibri" w:hAnsi="Calibri" w:cs="Calibri"/>
                <w:sz w:val="18"/>
                <w:szCs w:val="18"/>
                <w:shd w:val="clear" w:color="auto" w:fill="F4CCCC"/>
                <w:lang w:val="en-US"/>
              </w:rPr>
              <w:t xml:space="preserve"> </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8B2611">
              <w:rPr>
                <w:rFonts w:ascii="Calibri" w:eastAsia="Calibri" w:hAnsi="Calibri" w:cs="Calibri"/>
                <w:sz w:val="18"/>
                <w:szCs w:val="18"/>
                <w:shd w:val="clear" w:color="auto" w:fill="F4CCCC"/>
                <w:lang w:val="en-US"/>
              </w:rPr>
              <w:t>}</w:t>
            </w:r>
          </w:p>
          <w:p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92499C">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92499C">
              <w:rPr>
                <w:rFonts w:ascii="Calibri" w:eastAsia="Calibri" w:hAnsi="Calibri" w:cs="Calibri"/>
                <w:sz w:val="18"/>
                <w:szCs w:val="18"/>
                <w:shd w:val="clear" w:color="auto" w:fill="F4CCCC"/>
              </w:rPr>
              <w:t>:</w:t>
            </w:r>
            <w:r w:rsidR="007A5D4D" w:rsidRPr="0092499C">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92499C">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92499C">
              <w:rPr>
                <w:rFonts w:ascii="Calibri" w:eastAsia="Calibri" w:hAnsi="Calibri" w:cs="Calibri"/>
                <w:sz w:val="18"/>
                <w:szCs w:val="18"/>
                <w:shd w:val="clear" w:color="auto" w:fill="F4CCCC"/>
              </w:rPr>
              <w:t>}</w:t>
            </w:r>
          </w:p>
          <w:p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92499C">
              <w:rPr>
                <w:rFonts w:ascii="Calibri" w:eastAsia="Calibri" w:hAnsi="Calibri" w:cs="Calibri"/>
                <w:sz w:val="18"/>
                <w:szCs w:val="18"/>
                <w:shd w:val="clear" w:color="auto" w:fill="F4CCCC"/>
              </w:rPr>
              <w:t xml:space="preserve">: </w:t>
            </w:r>
            <w:r w:rsidR="007A5D4D" w:rsidRPr="0092499C">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92499C">
              <w:rPr>
                <w:rFonts w:ascii="Calibri" w:eastAsia="Calibri" w:hAnsi="Calibri" w:cs="Calibri"/>
                <w:sz w:val="18"/>
                <w:szCs w:val="18"/>
                <w:shd w:val="clear" w:color="auto" w:fill="F4CCCC"/>
              </w:rPr>
              <w:t>}</w:t>
            </w:r>
          </w:p>
          <w:p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rsidR="003222BA" w:rsidRDefault="003F4725">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3222BA" w:rsidRDefault="008B2611" w:rsidP="008B2611">
            <w:pPr>
              <w:spacing w:line="276" w:lineRule="auto"/>
              <w:rPr>
                <w:rFonts w:ascii="Calibri" w:eastAsia="Calibri" w:hAnsi="Calibri" w:cs="Calibri"/>
                <w:sz w:val="18"/>
                <w:szCs w:val="18"/>
              </w:rPr>
            </w:pPr>
            <w:r>
              <w:rPr>
                <w:rFonts w:ascii="Calibri" w:eastAsia="Calibri" w:hAnsi="Calibri" w:cs="Calibri"/>
                <w:sz w:val="18"/>
                <w:szCs w:val="18"/>
              </w:rPr>
              <w:t>Юр</w:t>
            </w:r>
            <w:r w:rsidRPr="008B2611">
              <w:rPr>
                <w:rFonts w:ascii="Calibri" w:eastAsia="Calibri" w:hAnsi="Calibri" w:cs="Calibri"/>
                <w:sz w:val="18"/>
                <w:szCs w:val="18"/>
              </w:rPr>
              <w:t>.</w:t>
            </w:r>
            <w:r>
              <w:rPr>
                <w:rFonts w:ascii="Calibri" w:eastAsia="Calibri" w:hAnsi="Calibri" w:cs="Calibri"/>
                <w:sz w:val="18"/>
                <w:szCs w:val="18"/>
              </w:rPr>
              <w:t xml:space="preserve"> адрес</w:t>
            </w:r>
            <w:r w:rsidR="003F4725">
              <w:rPr>
                <w:rFonts w:ascii="Calibri" w:eastAsia="Calibri" w:hAnsi="Calibri" w:cs="Calibri"/>
                <w:sz w:val="18"/>
                <w:szCs w:val="18"/>
              </w:rPr>
              <w:t>: 194295, Россия, г. Санкт-Петербург, пр-кт Северный, д. 24, корпус 1, кв. 33</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lastRenderedPageBreak/>
              <w:t>Почта: dima@mikhaylovseo.ru</w:t>
            </w:r>
          </w:p>
          <w:p w:rsidR="003222BA" w:rsidRDefault="003222BA">
            <w:pPr>
              <w:spacing w:line="276" w:lineRule="auto"/>
              <w:rPr>
                <w:rFonts w:ascii="Calibri" w:eastAsia="Calibri" w:hAnsi="Calibri" w:cs="Calibri"/>
                <w:sz w:val="18"/>
                <w:szCs w:val="18"/>
              </w:rPr>
            </w:pPr>
          </w:p>
          <w:p w:rsidR="003222BA" w:rsidRDefault="003222BA">
            <w:pPr>
              <w:spacing w:line="276" w:lineRule="auto"/>
              <w:rPr>
                <w:rFonts w:ascii="Calibri" w:eastAsia="Calibri" w:hAnsi="Calibri" w:cs="Calibri"/>
                <w:sz w:val="18"/>
                <w:szCs w:val="18"/>
              </w:rPr>
            </w:pPr>
          </w:p>
        </w:tc>
      </w:tr>
      <w:tr w:rsidR="003222BA" w:rsidTr="00F0320D">
        <w:trPr>
          <w:trHeight w:val="68"/>
        </w:trPr>
        <w:tc>
          <w:tcPr>
            <w:tcW w:w="4106" w:type="dxa"/>
          </w:tcPr>
          <w:p w:rsidR="007800B0" w:rsidRDefault="007800B0">
            <w:pPr>
              <w:rPr>
                <w:rFonts w:ascii="Calibri" w:eastAsia="Calibri" w:hAnsi="Calibri" w:cs="Calibri"/>
                <w:sz w:val="18"/>
                <w:szCs w:val="18"/>
              </w:rPr>
            </w:pPr>
          </w:p>
          <w:p w:rsidR="003222BA" w:rsidRDefault="003222BA">
            <w:pPr>
              <w:rPr>
                <w:rFonts w:ascii="Calibri" w:eastAsia="Calibri" w:hAnsi="Calibri" w:cs="Calibri"/>
                <w:sz w:val="18"/>
                <w:szCs w:val="18"/>
              </w:rPr>
            </w:pPr>
          </w:p>
          <w:p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rsidR="003222BA" w:rsidRDefault="003222BA">
            <w:pPr>
              <w:jc w:val="right"/>
              <w:rPr>
                <w:rFonts w:ascii="Calibri" w:eastAsia="Calibri" w:hAnsi="Calibri" w:cs="Calibri"/>
                <w:sz w:val="18"/>
                <w:szCs w:val="18"/>
              </w:rPr>
            </w:pPr>
          </w:p>
          <w:p w:rsidR="003222BA" w:rsidRDefault="003222BA" w:rsidP="007800B0">
            <w:pPr>
              <w:rPr>
                <w:rFonts w:ascii="Calibri" w:eastAsia="Calibri" w:hAnsi="Calibri" w:cs="Calibri"/>
                <w:sz w:val="18"/>
                <w:szCs w:val="18"/>
              </w:rPr>
            </w:pPr>
          </w:p>
          <w:p w:rsidR="003222BA" w:rsidRPr="00606058" w:rsidRDefault="00F910E5">
            <w:pPr>
              <w:rPr>
                <w:rFonts w:ascii="Calibri" w:eastAsia="Calibri" w:hAnsi="Calibri" w:cs="Calibri"/>
                <w:sz w:val="18"/>
                <w:szCs w:val="18"/>
              </w:rPr>
            </w:pPr>
            <w:r>
              <w:rPr>
                <w:rFonts w:ascii="Calibri" w:eastAsia="Calibri" w:hAnsi="Calibri" w:cs="Calibri"/>
                <w:sz w:val="18"/>
                <w:szCs w:val="18"/>
              </w:rPr>
              <w:t>_______________</w:t>
            </w:r>
            <w:r w:rsidR="003F4725">
              <w:rPr>
                <w:rFonts w:ascii="Calibri" w:eastAsia="Calibri" w:hAnsi="Calibri" w:cs="Calibri"/>
                <w:sz w:val="18"/>
                <w:szCs w:val="18"/>
              </w:rPr>
              <w:t>Михайлов Д.С.</w:t>
            </w:r>
          </w:p>
        </w:tc>
      </w:tr>
    </w:tbl>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Pr="00606058"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rsidR="003222BA" w:rsidRDefault="003222BA">
      <w:pPr>
        <w:widowControl/>
        <w:jc w:val="center"/>
        <w:rPr>
          <w:rFonts w:ascii="Calibri" w:eastAsia="Calibri" w:hAnsi="Calibri" w:cs="Calibri"/>
          <w:b/>
          <w:sz w:val="18"/>
          <w:szCs w:val="18"/>
          <w:shd w:val="clear" w:color="auto" w:fill="F4CCCC"/>
        </w:rPr>
      </w:pP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rsidR="004E07F2" w:rsidRDefault="004E07F2">
      <w:pPr>
        <w:rPr>
          <w:rFonts w:ascii="Calibri" w:eastAsia="Calibri" w:hAnsi="Calibri" w:cs="Calibri"/>
          <w:sz w:val="18"/>
          <w:szCs w:val="18"/>
        </w:rPr>
      </w:pPr>
    </w:p>
    <w:p w:rsidR="003222BA" w:rsidRDefault="003222BA">
      <w:pPr>
        <w:ind w:firstLine="708"/>
        <w:rPr>
          <w:rFonts w:ascii="Calibri" w:eastAsia="Calibri" w:hAnsi="Calibri" w:cs="Calibri"/>
          <w:b/>
          <w:sz w:val="18"/>
          <w:szCs w:val="18"/>
        </w:rPr>
      </w:pPr>
    </w:p>
    <w:p w:rsidR="003222BA" w:rsidRDefault="003222BA">
      <w:pPr>
        <w:rPr>
          <w:rFonts w:ascii="Calibri" w:eastAsia="Calibri" w:hAnsi="Calibri" w:cs="Calibri"/>
          <w:sz w:val="18"/>
          <w:szCs w:val="18"/>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rsidR="004E07F2" w:rsidRPr="004E07F2" w:rsidRDefault="004E07F2" w:rsidP="004E07F2">
      <w:pPr>
        <w:widowControl/>
        <w:rPr>
          <w:rFonts w:ascii="Times New Roman" w:eastAsia="Times New Roman" w:hAnsi="Times New Roman" w:cs="Times New Roman"/>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rsidR="003222BA" w:rsidRDefault="003222BA">
      <w:pPr>
        <w:widowControl/>
        <w:spacing w:line="276" w:lineRule="auto"/>
        <w:rPr>
          <w:rFonts w:ascii="Calibri" w:eastAsia="Calibri" w:hAnsi="Calibri" w:cs="Calibri"/>
          <w:sz w:val="18"/>
          <w:szCs w:val="18"/>
          <w:highlight w:val="yellow"/>
        </w:rPr>
      </w:pP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3222BA" w:rsidRDefault="003222BA">
      <w:pPr>
        <w:widowControl/>
        <w:rPr>
          <w:rFonts w:ascii="Calibri" w:eastAsia="Calibri" w:hAnsi="Calibri" w:cs="Calibri"/>
          <w:sz w:val="18"/>
          <w:szCs w:val="18"/>
        </w:rPr>
      </w:pPr>
    </w:p>
    <w:p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3222BA" w:rsidRDefault="003F4725">
      <w:pPr>
        <w:widowControl/>
        <w:rPr>
          <w:rFonts w:ascii="Calibri" w:eastAsia="Calibri" w:hAnsi="Calibri" w:cs="Calibri"/>
          <w:sz w:val="18"/>
          <w:szCs w:val="18"/>
        </w:rPr>
      </w:pPr>
      <w:r>
        <w:rPr>
          <w:rFonts w:ascii="Calibri" w:eastAsia="Calibri" w:hAnsi="Calibri" w:cs="Calibri"/>
          <w:sz w:val="18"/>
          <w:szCs w:val="18"/>
        </w:rPr>
        <w:t>Отдается ссылка на Google Docs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5DA" w:rsidRDefault="000F65DA">
      <w:r>
        <w:separator/>
      </w:r>
    </w:p>
  </w:endnote>
  <w:endnote w:type="continuationSeparator" w:id="0">
    <w:p w:rsidR="000F65DA" w:rsidRDefault="000F6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BA" w:rsidRDefault="003222BA">
    <w:pPr>
      <w:spacing w:line="276" w:lineRule="auto"/>
      <w:rPr>
        <w:rFonts w:ascii="Calibri" w:eastAsia="Calibri" w:hAnsi="Calibri" w:cs="Calibri"/>
        <w:sz w:val="18"/>
        <w:szCs w:val="18"/>
      </w:rPr>
    </w:pPr>
  </w:p>
  <w:p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5DA" w:rsidRDefault="000F65DA">
      <w:r>
        <w:separator/>
      </w:r>
    </w:p>
  </w:footnote>
  <w:footnote w:type="continuationSeparator" w:id="0">
    <w:p w:rsidR="000F65DA" w:rsidRDefault="000F65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05FB8"/>
    <w:rsid w:val="00020B51"/>
    <w:rsid w:val="0002140A"/>
    <w:rsid w:val="000431FE"/>
    <w:rsid w:val="00066E75"/>
    <w:rsid w:val="00072540"/>
    <w:rsid w:val="00084647"/>
    <w:rsid w:val="000C7F26"/>
    <w:rsid w:val="000E15A9"/>
    <w:rsid w:val="000E1768"/>
    <w:rsid w:val="000E4B59"/>
    <w:rsid w:val="000F1411"/>
    <w:rsid w:val="000F65DA"/>
    <w:rsid w:val="00143A9A"/>
    <w:rsid w:val="001461B9"/>
    <w:rsid w:val="001501CB"/>
    <w:rsid w:val="00157DB1"/>
    <w:rsid w:val="00164821"/>
    <w:rsid w:val="001777C5"/>
    <w:rsid w:val="00181F02"/>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222BA"/>
    <w:rsid w:val="00342D85"/>
    <w:rsid w:val="003507C9"/>
    <w:rsid w:val="00350A81"/>
    <w:rsid w:val="00360FD9"/>
    <w:rsid w:val="0037523E"/>
    <w:rsid w:val="00376D70"/>
    <w:rsid w:val="003A47F9"/>
    <w:rsid w:val="003C76E1"/>
    <w:rsid w:val="003D3BB9"/>
    <w:rsid w:val="003D52BC"/>
    <w:rsid w:val="003F0D08"/>
    <w:rsid w:val="003F4725"/>
    <w:rsid w:val="004005BF"/>
    <w:rsid w:val="00400F64"/>
    <w:rsid w:val="00402E7B"/>
    <w:rsid w:val="00405214"/>
    <w:rsid w:val="00405974"/>
    <w:rsid w:val="004068D0"/>
    <w:rsid w:val="004226A9"/>
    <w:rsid w:val="00453284"/>
    <w:rsid w:val="00460B70"/>
    <w:rsid w:val="00475778"/>
    <w:rsid w:val="00484108"/>
    <w:rsid w:val="004C0D3E"/>
    <w:rsid w:val="004D66F5"/>
    <w:rsid w:val="004D7575"/>
    <w:rsid w:val="004E07F2"/>
    <w:rsid w:val="004F06AC"/>
    <w:rsid w:val="0050312F"/>
    <w:rsid w:val="00543597"/>
    <w:rsid w:val="00547536"/>
    <w:rsid w:val="0055306F"/>
    <w:rsid w:val="00580A6D"/>
    <w:rsid w:val="00597EB2"/>
    <w:rsid w:val="005A7DB9"/>
    <w:rsid w:val="005D5D14"/>
    <w:rsid w:val="006036DB"/>
    <w:rsid w:val="0060446C"/>
    <w:rsid w:val="00605EEE"/>
    <w:rsid w:val="00606058"/>
    <w:rsid w:val="00611043"/>
    <w:rsid w:val="00611B31"/>
    <w:rsid w:val="00617E3B"/>
    <w:rsid w:val="00621618"/>
    <w:rsid w:val="00634E8C"/>
    <w:rsid w:val="006642B4"/>
    <w:rsid w:val="006676EE"/>
    <w:rsid w:val="006741E8"/>
    <w:rsid w:val="0068374D"/>
    <w:rsid w:val="006863ED"/>
    <w:rsid w:val="00690D9D"/>
    <w:rsid w:val="0069799E"/>
    <w:rsid w:val="006C713B"/>
    <w:rsid w:val="006C74C0"/>
    <w:rsid w:val="007471B0"/>
    <w:rsid w:val="00764208"/>
    <w:rsid w:val="007800B0"/>
    <w:rsid w:val="007A06A7"/>
    <w:rsid w:val="007A5D4D"/>
    <w:rsid w:val="007C1292"/>
    <w:rsid w:val="0081028F"/>
    <w:rsid w:val="00820497"/>
    <w:rsid w:val="00846425"/>
    <w:rsid w:val="00881E0C"/>
    <w:rsid w:val="008B2611"/>
    <w:rsid w:val="008B52EF"/>
    <w:rsid w:val="008E7F84"/>
    <w:rsid w:val="008F49E6"/>
    <w:rsid w:val="0092499C"/>
    <w:rsid w:val="00955EE8"/>
    <w:rsid w:val="009642C9"/>
    <w:rsid w:val="009847F5"/>
    <w:rsid w:val="009B1E6F"/>
    <w:rsid w:val="009D5749"/>
    <w:rsid w:val="009E4E2D"/>
    <w:rsid w:val="009E6384"/>
    <w:rsid w:val="009F7EB0"/>
    <w:rsid w:val="00A32C5B"/>
    <w:rsid w:val="00A55958"/>
    <w:rsid w:val="00A809F5"/>
    <w:rsid w:val="00A8450B"/>
    <w:rsid w:val="00AB238A"/>
    <w:rsid w:val="00AB7F27"/>
    <w:rsid w:val="00B06934"/>
    <w:rsid w:val="00B337EE"/>
    <w:rsid w:val="00B534FB"/>
    <w:rsid w:val="00BA22E3"/>
    <w:rsid w:val="00BA5878"/>
    <w:rsid w:val="00BB3A6B"/>
    <w:rsid w:val="00BF7846"/>
    <w:rsid w:val="00C0053C"/>
    <w:rsid w:val="00C033D4"/>
    <w:rsid w:val="00C152CD"/>
    <w:rsid w:val="00C22599"/>
    <w:rsid w:val="00C24892"/>
    <w:rsid w:val="00C50FE0"/>
    <w:rsid w:val="00C55F4D"/>
    <w:rsid w:val="00C56653"/>
    <w:rsid w:val="00C75D05"/>
    <w:rsid w:val="00C868A3"/>
    <w:rsid w:val="00C87CB6"/>
    <w:rsid w:val="00CA3CCB"/>
    <w:rsid w:val="00CE7111"/>
    <w:rsid w:val="00D014F0"/>
    <w:rsid w:val="00D07F93"/>
    <w:rsid w:val="00D11D2D"/>
    <w:rsid w:val="00D27D16"/>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19A1"/>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4</Pages>
  <Words>2316</Words>
  <Characters>13206</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124</cp:revision>
  <dcterms:created xsi:type="dcterms:W3CDTF">2024-04-04T15:00:00Z</dcterms:created>
  <dcterms:modified xsi:type="dcterms:W3CDTF">2024-06-06T10:45:00Z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