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Jégou,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and any answer can be regenerated in place without retyping the question. The generation model itself can be switched mid-session between whichever models are already pulled locally through Ollama.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Jégou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20"/>
          </w:tcPr>
          <w:p>
            <w:r>
              <w:rPr>
                <w:b/>
              </w:rPr>
              <w:t>Phase</w:t>
            </w:r>
          </w:p>
        </w:tc>
        <w:tc>
          <w:tcPr>
            <w:tcW w:type="dxa" w:w="1008"/>
          </w:tcPr>
          <w:p>
            <w:r>
              <w:rPr>
                <w:b/>
              </w:rPr>
              <w:t>Weeks</w:t>
            </w:r>
          </w:p>
        </w:tc>
        <w:tc>
          <w:tcPr>
            <w:tcW w:type="dxa" w:w="1584"/>
          </w:tcPr>
          <w:p>
            <w:r>
              <w:rPr>
                <w:b/>
              </w:rPr>
              <w:t>Dates</w:t>
            </w:r>
          </w:p>
        </w:tc>
        <w:tc>
          <w:tcPr>
            <w:tcW w:type="dxa" w:w="5184"/>
          </w:tcPr>
          <w:p>
            <w:r>
              <w:rPr>
                <w:b/>
              </w:rPr>
              <w:t>Activity</w:t>
            </w:r>
          </w:p>
        </w:tc>
        <w:tc>
          <w:tcPr>
            <w:tcW w:type="dxa" w:w="1440"/>
          </w:tcPr>
          <w:p>
            <w:r>
              <w:rPr>
                <w:b/>
              </w:rPr>
              <w:t>Status</w:t>
            </w:r>
          </w:p>
        </w:tc>
      </w:tr>
      <w:tr>
        <w:tc>
          <w:tcPr>
            <w:tcW w:type="dxa" w:w="720"/>
          </w:tcPr>
          <w:p>
            <w:r>
              <w:t>1</w:t>
            </w:r>
          </w:p>
        </w:tc>
        <w:tc>
          <w:tcPr>
            <w:tcW w:type="dxa" w:w="1008"/>
          </w:tcPr>
          <w:p>
            <w:r>
              <w:t>1 to 2</w:t>
            </w:r>
          </w:p>
        </w:tc>
        <w:tc>
          <w:tcPr>
            <w:tcW w:type="dxa" w:w="1584"/>
          </w:tcPr>
          <w:p>
            <w:r>
              <w:t>3 Mar to 16 Mar</w:t>
            </w:r>
          </w:p>
        </w:tc>
        <w:tc>
          <w:tcPr>
            <w:tcW w:type="dxa" w:w="5184"/>
          </w:tcPr>
          <w:p>
            <w:r>
              <w:t>Background reading and environment setup</w:t>
            </w:r>
          </w:p>
        </w:tc>
        <w:tc>
          <w:tcPr>
            <w:tcW w:type="dxa" w:w="1440"/>
          </w:tcPr>
          <w:p>
            <w:r>
              <w:t>Complete</w:t>
            </w:r>
          </w:p>
        </w:tc>
      </w:tr>
      <w:tr>
        <w:tc>
          <w:tcPr>
            <w:tcW w:type="dxa" w:w="720"/>
          </w:tcPr>
          <w:p>
            <w:r>
              <w:t>2</w:t>
            </w:r>
          </w:p>
        </w:tc>
        <w:tc>
          <w:tcPr>
            <w:tcW w:type="dxa" w:w="1008"/>
          </w:tcPr>
          <w:p>
            <w:r>
              <w:t>3 to 4</w:t>
            </w:r>
          </w:p>
        </w:tc>
        <w:tc>
          <w:tcPr>
            <w:tcW w:type="dxa" w:w="1584"/>
          </w:tcPr>
          <w:p>
            <w:r>
              <w:t>17 Mar to 30 Mar</w:t>
            </w:r>
          </w:p>
        </w:tc>
        <w:tc>
          <w:tcPr>
            <w:tcW w:type="dxa" w:w="5184"/>
          </w:tcPr>
          <w:p>
            <w:r>
              <w:t>LangChain tutorials and FAISS exploration</w:t>
            </w:r>
          </w:p>
        </w:tc>
        <w:tc>
          <w:tcPr>
            <w:tcW w:type="dxa" w:w="1440"/>
          </w:tcPr>
          <w:p>
            <w:r>
              <w:t>Complete</w:t>
            </w:r>
          </w:p>
        </w:tc>
      </w:tr>
      <w:tr>
        <w:tc>
          <w:tcPr>
            <w:tcW w:type="dxa" w:w="720"/>
          </w:tcPr>
          <w:p>
            <w:r>
              <w:t>3</w:t>
            </w:r>
          </w:p>
        </w:tc>
        <w:tc>
          <w:tcPr>
            <w:tcW w:type="dxa" w:w="1008"/>
          </w:tcPr>
          <w:p>
            <w:r>
              <w:t>5</w:t>
            </w:r>
          </w:p>
        </w:tc>
        <w:tc>
          <w:tcPr>
            <w:tcW w:type="dxa" w:w="1584"/>
          </w:tcPr>
          <w:p>
            <w:r>
              <w:t>31 Mar to 6 Apr</w:t>
            </w:r>
          </w:p>
        </w:tc>
        <w:tc>
          <w:tcPr>
            <w:tcW w:type="dxa" w:w="5184"/>
          </w:tcPr>
          <w:p>
            <w:r>
              <w:t>Minimal end-to-end pipeline implementation</w:t>
            </w:r>
          </w:p>
        </w:tc>
        <w:tc>
          <w:tcPr>
            <w:tcW w:type="dxa" w:w="1440"/>
          </w:tcPr>
          <w:p>
            <w:r>
              <w:t>Complete</w:t>
            </w:r>
          </w:p>
        </w:tc>
      </w:tr>
      <w:tr>
        <w:tc>
          <w:tcPr>
            <w:tcW w:type="dxa" w:w="720"/>
          </w:tcPr>
          <w:p>
            <w:r>
              <w:t>4</w:t>
            </w:r>
          </w:p>
        </w:tc>
        <w:tc>
          <w:tcPr>
            <w:tcW w:type="dxa" w:w="1008"/>
          </w:tcPr>
          <w:p>
            <w:r>
              <w:t>6</w:t>
            </w:r>
          </w:p>
        </w:tc>
        <w:tc>
          <w:tcPr>
            <w:tcW w:type="dxa" w:w="1584"/>
          </w:tcPr>
          <w:p>
            <w:r>
              <w:t>7 Apr to 13 Apr</w:t>
            </w:r>
          </w:p>
        </w:tc>
        <w:tc>
          <w:tcPr>
            <w:tcW w:type="dxa" w:w="5184"/>
          </w:tcPr>
          <w:p>
            <w:r>
              <w:t>Chunking and embedding experimentation</w:t>
            </w:r>
          </w:p>
        </w:tc>
        <w:tc>
          <w:tcPr>
            <w:tcW w:type="dxa" w:w="1440"/>
          </w:tcPr>
          <w:p>
            <w:r>
              <w:t>Complete</w:t>
            </w:r>
          </w:p>
        </w:tc>
      </w:tr>
      <w:tr>
        <w:tc>
          <w:tcPr>
            <w:tcW w:type="dxa" w:w="720"/>
          </w:tcPr>
          <w:p>
            <w:r>
              <w:t>5</w:t>
            </w:r>
          </w:p>
        </w:tc>
        <w:tc>
          <w:tcPr>
            <w:tcW w:type="dxa" w:w="1008"/>
          </w:tcPr>
          <w:p>
            <w:r>
              <w:t>7 to 8</w:t>
            </w:r>
          </w:p>
        </w:tc>
        <w:tc>
          <w:tcPr>
            <w:tcW w:type="dxa" w:w="1584"/>
          </w:tcPr>
          <w:p>
            <w:r>
              <w:t>14 Apr to 27 Apr</w:t>
            </w:r>
          </w:p>
        </w:tc>
        <w:tc>
          <w:tcPr>
            <w:tcW w:type="dxa" w:w="5184"/>
          </w:tcPr>
          <w:p>
            <w:r>
              <w:t>Code documentation and TMA02 write-up</w:t>
            </w:r>
          </w:p>
        </w:tc>
        <w:tc>
          <w:tcPr>
            <w:tcW w:type="dxa" w:w="1440"/>
          </w:tcPr>
          <w:p>
            <w:r>
              <w:t>Complete</w:t>
            </w:r>
          </w:p>
        </w:tc>
      </w:tr>
      <w:tr>
        <w:tc>
          <w:tcPr>
            <w:tcW w:type="dxa" w:w="720"/>
          </w:tcPr>
          <w:p>
            <w:r>
              <w:t>6</w:t>
            </w:r>
          </w:p>
        </w:tc>
        <w:tc>
          <w:tcPr>
            <w:tcW w:type="dxa" w:w="1008"/>
          </w:tcPr>
          <w:p>
            <w:r>
              <w:t>9</w:t>
            </w:r>
          </w:p>
        </w:tc>
        <w:tc>
          <w:tcPr>
            <w:tcW w:type="dxa" w:w="1584"/>
          </w:tcPr>
          <w:p>
            <w:r>
              <w:t>28 Apr to 5 May</w:t>
            </w:r>
          </w:p>
        </w:tc>
        <w:tc>
          <w:tcPr>
            <w:tcW w:type="dxa" w:w="5184"/>
          </w:tcPr>
          <w:p>
            <w:r>
              <w:t>TMA02 finalisation and submission</w:t>
            </w:r>
          </w:p>
        </w:tc>
        <w:tc>
          <w:tcPr>
            <w:tcW w:type="dxa" w:w="1440"/>
          </w:tcPr>
          <w:p>
            <w:r>
              <w:t>Complete</w:t>
            </w:r>
          </w:p>
        </w:tc>
      </w:tr>
      <w:tr>
        <w:tc>
          <w:tcPr>
            <w:tcW w:type="dxa" w:w="720"/>
          </w:tcPr>
          <w:p>
            <w:r>
              <w:t>7</w:t>
            </w:r>
          </w:p>
        </w:tc>
        <w:tc>
          <w:tcPr>
            <w:tcW w:type="dxa" w:w="1008"/>
          </w:tcPr>
          <w:p>
            <w:r>
              <w:t>10 to 11</w:t>
            </w:r>
          </w:p>
        </w:tc>
        <w:tc>
          <w:tcPr>
            <w:tcW w:type="dxa" w:w="1584"/>
          </w:tcPr>
          <w:p>
            <w:r>
              <w:t>6 May to 19 May</w:t>
            </w:r>
          </w:p>
        </w:tc>
        <w:tc>
          <w:tcPr>
            <w:tcW w:type="dxa" w:w="5184"/>
          </w:tcPr>
          <w:p>
            <w:r>
              <w:t>Gradio UI development, conversation memory, .docx support</w:t>
            </w:r>
          </w:p>
        </w:tc>
        <w:tc>
          <w:tcPr>
            <w:tcW w:type="dxa" w:w="1440"/>
          </w:tcPr>
          <w:p>
            <w:r>
              <w:t>Complete</w:t>
            </w:r>
          </w:p>
        </w:tc>
      </w:tr>
      <w:tr>
        <w:tc>
          <w:tcPr>
            <w:tcW w:type="dxa" w:w="720"/>
          </w:tcPr>
          <w:p>
            <w:r>
              <w:t>8</w:t>
            </w:r>
          </w:p>
        </w:tc>
        <w:tc>
          <w:tcPr>
            <w:tcW w:type="dxa" w:w="1008"/>
          </w:tcPr>
          <w:p>
            <w:r>
              <w:t>12 to 13</w:t>
            </w:r>
          </w:p>
        </w:tc>
        <w:tc>
          <w:tcPr>
            <w:tcW w:type="dxa" w:w="1584"/>
          </w:tcPr>
          <w:p>
            <w:r>
              <w:t>20 May to 2 Jun</w:t>
            </w:r>
          </w:p>
        </w:tc>
        <w:tc>
          <w:tcPr>
            <w:tcW w:type="dxa" w:w="5184"/>
          </w:tcPr>
          <w:p>
            <w:r>
              <w:t>TruLens evaluation harness and chunk size comparison</w:t>
            </w:r>
          </w:p>
        </w:tc>
        <w:tc>
          <w:tcPr>
            <w:tcW w:type="dxa" w:w="1440"/>
          </w:tcPr>
          <w:p>
            <w:r>
              <w:t>Complete</w:t>
            </w:r>
          </w:p>
        </w:tc>
      </w:tr>
      <w:tr>
        <w:tc>
          <w:tcPr>
            <w:tcW w:type="dxa" w:w="720"/>
          </w:tcPr>
          <w:p>
            <w:r>
              <w:t>9</w:t>
            </w:r>
          </w:p>
        </w:tc>
        <w:tc>
          <w:tcPr>
            <w:tcW w:type="dxa" w:w="1008"/>
          </w:tcPr>
          <w:p>
            <w:r>
              <w:t>14 to 15</w:t>
            </w:r>
          </w:p>
        </w:tc>
        <w:tc>
          <w:tcPr>
            <w:tcW w:type="dxa" w:w="1584"/>
          </w:tcPr>
          <w:p>
            <w:r>
              <w:t>3 Jun to 16 Jun</w:t>
            </w:r>
          </w:p>
        </w:tc>
        <w:tc>
          <w:tcPr>
            <w:tcW w:type="dxa" w:w="5184"/>
          </w:tcPr>
          <w:p>
            <w:r>
              <w:t>Evaluation analysis and TMA03 write-up</w:t>
            </w:r>
          </w:p>
        </w:tc>
        <w:tc>
          <w:tcPr>
            <w:tcW w:type="dxa" w:w="1440"/>
          </w:tcPr>
          <w:p>
            <w:r>
              <w:t>Complete</w:t>
            </w:r>
          </w:p>
        </w:tc>
      </w:tr>
      <w:tr>
        <w:tc>
          <w:tcPr>
            <w:tcW w:type="dxa" w:w="720"/>
          </w:tcPr>
          <w:p>
            <w:r>
              <w:t>10</w:t>
            </w:r>
          </w:p>
        </w:tc>
        <w:tc>
          <w:tcPr>
            <w:tcW w:type="dxa" w:w="1008"/>
          </w:tcPr>
          <w:p>
            <w:r>
              <w:t>16 to 17</w:t>
            </w:r>
          </w:p>
        </w:tc>
        <w:tc>
          <w:tcPr>
            <w:tcW w:type="dxa" w:w="1584"/>
          </w:tcPr>
          <w:p>
            <w:r>
              <w:t>Jul</w:t>
            </w:r>
          </w:p>
        </w:tc>
        <w:tc>
          <w:tcPr>
            <w:tcW w:type="dxa" w:w="5184"/>
          </w:tcPr>
          <w:p>
            <w:r>
              <w:t>Response to TMA03 feedback: risk mitigation detail, schedule and evaluation presented as tables, architecture diagram and interface screenshots, sample corpus sourcing</w:t>
            </w:r>
          </w:p>
        </w:tc>
        <w:tc>
          <w:tcPr>
            <w:tcW w:type="dxa" w:w="1440"/>
          </w:tcPr>
          <w:p>
            <w:r>
              <w:t>Complete</w:t>
            </w:r>
          </w:p>
        </w:tc>
      </w:tr>
      <w:tr>
        <w:tc>
          <w:tcPr>
            <w:tcW w:type="dxa" w:w="720"/>
          </w:tcPr>
          <w:p>
            <w:r>
              <w:t>11</w:t>
            </w:r>
          </w:p>
        </w:tc>
        <w:tc>
          <w:tcPr>
            <w:tcW w:type="dxa" w:w="1008"/>
          </w:tcPr>
          <w:p>
            <w:r>
              <w:t>18</w:t>
            </w:r>
          </w:p>
        </w:tc>
        <w:tc>
          <w:tcPr>
            <w:tcW w:type="dxa" w:w="1584"/>
          </w:tcPr>
          <w:p>
            <w:r>
              <w:t>Sep</w:t>
            </w:r>
          </w:p>
        </w:tc>
        <w:tc>
          <w:tcPr>
            <w:tcW w:type="dxa" w:w="5184"/>
          </w:tcPr>
          <w:p>
            <w:r>
              <w:t>Evaluation re-run attempted against final shipped corpus (stopped before completion, see Appendix 2); EMA write-up and submission</w:t>
            </w:r>
          </w:p>
        </w:tc>
        <w:tc>
          <w:tcPr>
            <w:tcW w:type="dxa" w:w="1440"/>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Jégou,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768-dimensional vector for each chunk. The FAISS index is built from these vectors and saved to disk. Indexing time scales with corpus size and is dominated by the embedding calls rather than FAISS itself, since inserting an already-computed vector into the index is close to instantaneous; loading a previously saved index back from disk is consistently sub-second regardless of corpus size, since it requires no new embedding calls at all, which is what makes the session save and resume feature described later in this section practical rather than merely convenient.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Every response carries a citation in the fixed format 'Source: [filename], page [n]', with the page number recorded from the source document's own metadata where the loader provides one and reported as 'n/a' for plain text files, which have no page structure to record.</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two short accordions: one explaining why some questions are declined, and one, added after a final review of who is actually likely to use the application, setting out what it is a good fit for (coursework revision and checking your own documents, where every answer traces back to a citation) against what it is not (professional advice in law, medicine, finance or other high-stakes domains, where grounding and citations reduce but do not eliminate the risk of an unsupported answer).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2673573"/>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2673573"/>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2673573"/>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2673573"/>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r>
        <w:t>Figure 3 shows the components and their static relationships; Figure 4 complements it with a UML sequence diagram tracing a single question through the running system over time, showing which component is responsible for each step and which calls return a value before the next step can proceed.</w:t>
      </w:r>
    </w:p>
    <w:p>
      <w:pPr>
        <w:jc w:val="center"/>
      </w:pPr>
      <w:r>
        <w:drawing>
          <wp:inline xmlns:a="http://schemas.openxmlformats.org/drawingml/2006/main" xmlns:pic="http://schemas.openxmlformats.org/drawingml/2006/picture">
            <wp:extent cx="5760720" cy="4189615"/>
            <wp:docPr id="4" name="Picture 4"/>
            <wp:cNvGraphicFramePr>
              <a:graphicFrameLocks noChangeAspect="1"/>
            </wp:cNvGraphicFramePr>
            <a:graphic>
              <a:graphicData uri="http://schemas.openxmlformats.org/drawingml/2006/picture">
                <pic:pic>
                  <pic:nvPicPr>
                    <pic:cNvPr id="0" name="sequence_diagram.png"/>
                    <pic:cNvPicPr/>
                  </pic:nvPicPr>
                  <pic:blipFill>
                    <a:blip r:embed="rId12"/>
                    <a:stretch>
                      <a:fillRect/>
                    </a:stretch>
                  </pic:blipFill>
                  <pic:spPr>
                    <a:xfrm>
                      <a:off x="0" y="0"/>
                      <a:ext cx="5760720" cy="4189615"/>
                    </a:xfrm>
                    <a:prstGeom prst="rect"/>
                  </pic:spPr>
                </pic:pic>
              </a:graphicData>
            </a:graphic>
          </wp:inline>
        </w:drawing>
      </w:r>
    </w:p>
    <w:p>
      <w:pPr>
        <w:jc w:val="center"/>
      </w:pPr>
      <w:r>
        <w:rPr>
          <w:i/>
          <w:sz w:val="19"/>
        </w:rPr>
        <w:t>Figure 4: UML sequence diagram for the 'ask a question' interaction.</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3"/>
      </w:pPr>
      <w:r>
        <w:t>Answer Regeneration</w:t>
      </w:r>
    </w:p>
    <w:p>
      <w:r>
        <w:t>An Ollama model can return a different answer to the same question on separate runs, since generation is not deterministic even at a low temperature setting, and a retrieved passage is occasionally phrased in a way the model summarises poorly on a first attempt. A 'Regenerate answer' action re-asks the most recent question without requiring it to be retyped, discarding the previous answer and its excerpts panel and streaming a fresh one in their place. The corresponding turn is first removed from conversation memory before the question is re-asked, so the stale answer is not still present in the history used to build the next prompt and the regenerated turn is recorded exactly once.</w:t>
      </w:r>
    </w:p>
    <w:p>
      <w:pPr>
        <w:pStyle w:val="Heading3"/>
      </w:pPr>
      <w:r>
        <w:t>Retrieval Distance Scores</w:t>
      </w:r>
    </w:p>
    <w:p>
      <w:r>
        <w:t>The 'view retrieved excerpts' panel introduced earlier lists what was retrieved but not how closely it matched the question, leaving a user to judge relevance by reading the passage alone. Each excerpt now also shows the raw FAISS distance score for that chunk, labelled 'lower is closer' rather than converted into an invented percentage, since the underlying embeddings are not normalised and a manufactured confidence figure would overstate the precision of the measurement. This reuses FAISS's own similarity-search-with-score method in place of the plain similarity search used previously, copying the score onto a new Document object rather than mutating the one held in the FAISS docstore, so the change does not affect what is saved to or loaded from disk.</w:t>
      </w:r>
    </w:p>
    <w:p>
      <w:r>
        <w:t>This is a modest addition, but it closes the gap between what earlier sections of this report describe FAISS as doing internally and what the interface actually shows a user, matching the project's general principle that a claim of grounding should be something a user can inspect directly rather than take on trust.</w:t>
      </w:r>
    </w:p>
    <w:p>
      <w:pPr>
        <w:pStyle w:val="Heading3"/>
      </w:pPr>
      <w:r>
        <w:t>Generation Model Selection</w:t>
      </w:r>
    </w:p>
    <w:p>
      <w:r>
        <w:t>The generation model was previously fixed at startup by the LLM_MODEL environment variable, requiring the .env file to be edited and the application restarted to try a different locally pulled model. An 'Advanced settings' dropdown now lists every model currently pulled in the local Ollama server, read from its /api/tags endpoint, and lets a user switch the generation model mid-session without restarting the application. The configured embedding model is deliberately excluded from this list, since it is not a chat model and was never intended to generate answers, only to build the FAISS index; switching it would in any case require re-embedding every loaded document, which this control does not attempt.</w:t>
      </w:r>
    </w:p>
    <w:p>
      <w:r>
        <w:t>A model chosen before any document has been loaded, when no pipeline object yet exists to hold it, is remembered on the shared configuration so that the pipeline created on the first upload or sample-load picks it up; a model chosen after documents are already loaded instead replaces the generation client on the existing pipeline directly. Two new unit tests cover both cases. This gives a user a direct way to compare how different locally available models summarise the same retrieved passages, without leaving the interface or touching configuration files.</w:t>
      </w:r>
    </w:p>
    <w:p>
      <w:pPr>
        <w:pStyle w:val="Heading3"/>
      </w:pPr>
      <w:r>
        <w:t>Duplicate Document Replacement</w:t>
      </w:r>
    </w:p>
    <w:p>
      <w:r>
        <w:t>Re-ingesting a file with the same name as one already loaded, for example after correcting a typo or updating a study document, previously added a second, duplicate set of chunks under that filename rather than replacing the first, so both the outdated and the corrected wording could be retrieved and cited side by side. Ingest now removes any chunks already tracked under an incoming filename before adding the new ones, so the newer upload takes over cleanly. The same check is applied within a single ingest call, because Gradio's file upload widget resends every file it has ever held rather than only the newest one, so dropping a corrected file in without first removing the old entry would otherwise send both the stale and the corrected copy in the same batch; only the last path for a given filename in that batch is kept.</w:t>
      </w:r>
    </w:p>
    <w:p>
      <w:r>
        <w:t>The interface now also reports when a document has been replaced this way, rather than only reporting a chunk count that gives no indication anything was swapped out. Three new unit tests cover replacement across separate ingest calls, replacement within a single call, and the ordinary case of a genuinely new filename reporting no replacement. This was confirmed live in the browser by uploading a short file, then uploading a second version of it with different wording, and checking that the assistant's answer reflected only the newer wording and its single citation, with the index status message confirming which filename had been replaced.</w:t>
      </w:r>
    </w:p>
    <w:p>
      <w:pPr>
        <w:pStyle w:val="Heading3"/>
      </w:pPr>
      <w:r>
        <w:t>Answer Style</w:t>
      </w:r>
    </w:p>
    <w:p>
      <w:r>
        <w:t>The system prompt's third rule, previously a fixed instruction to be concise, is now one of two interchangeable instructions selected by a new 'Answer style' control in Advanced settings: concise, the existing default, or detailed, which asks the model to cover relevant background and reasoning across multiple sentences or paragraphs rather than a single short line. Both variants keep the same grounding and citation rules unchanged; only the length and depth of the answer itself is affected. This gives a user a way to ask for a fuller explanation when studying a topic in depth, without having to rephrase the question itself to request more detail.</w:t>
      </w:r>
    </w:p>
    <w:p>
      <w:r>
        <w:t>The choice is stored on the same shared settings object used for the generation model and chunk count, following the same pattern established for the model selector: a choice made before any document is loaded is remembered on the shared settings for the pipeline created afterwards, and a choice made once a pipeline exists updates it directly. Two new unit tests confirm the prompt sent to the model contains the expected instruction for each style, and two further interface-level tests cover both branches of the setting-versus-pipeline logic, mirroring the tests written for the model selector. This was confirmed live in the browser by switching to the detailed style, loading the sample documents, and comparing the resulting answer's length and structure against an equivalent concise answer asked earlier in the session.</w:t>
      </w:r>
    </w:p>
    <w:p>
      <w:pPr>
        <w:pStyle w:val="Heading3"/>
      </w:pPr>
      <w:r>
        <w:t>Tolerant Multi-File Ingestion</w:t>
      </w:r>
    </w:p>
    <w:p>
      <w:r>
        <w:t>Ingesting a batch of files previously aborted the whole upload the moment any single file failed to load, whether an unsupported type or a document that was simply corrupted, discarding chunks already extracted from every other, perfectly valid file in the same batch. A new filename-and-error-message pair is now recorded for each file that fails, and loading continues with whatever remains, so one bad file no longer costs a user their entire upload. The interface reports which filenames could not be processed and why, alongside the existing chunk count and replaced-document notes.</w:t>
      </w:r>
    </w:p>
    <w:p>
      <w:r>
        <w:t>Two new ingestion-level unit tests confirm a batch with one unsupported file still returns the successfully loaded document while reporting the failure, and that a fully successful batch reports no failures at all; a further pipeline-level test confirms the same behaviour once chunking and indexing are involved. Live testing in the browser found that Gradio's own upload widget already rejects disallowed extensions before they reach the application, so this path is chiefly exercised by a file with a permitted extension that is otherwise unreadable; this was confirmed by uploading a .txt file containing invalid byte sequences alongside a valid one, and checking that the valid file was still ingested and answerable while the corrupted one was named in the status message.</w:t>
      </w:r>
    </w:p>
    <w:p>
      <w:pPr>
        <w:pStyle w:val="Heading3"/>
      </w:pPr>
      <w:r>
        <w:t>Bespoke Interface Theme</w:t>
      </w:r>
    </w:p>
    <w:p>
      <w:r>
        <w:t>The interface originally used Gradio's default styling, which is functional but generic and gives no visual identity to the application. A bespoke theme was designed and applied instead, built on Gradio's theming API rather than custom HTML, so that every built-in component, such as buttons, sliders, checkboxes and accordions, still behaves and responds exactly as Gradio intends while presenting a warm, parchment-toned colour palette (a cream background, a deep teal accent colour for primary actions and links, and a muted amber border colour) together with a serif heading font for the title and a system sans-serif font for body text. A short gradient header banner introduces the application by name, states in a single line what it does, and carries a badge reading 'Runs entirely offline; nothing leaves this machine', restating the project's offline-first principle directly in the interface rather than leaving it only in the documentation. The upload, settings and conversation controls are each wrapped in a visually distinct card-like group so the page reads as a small number of clear sections rather than one undifferentiated column of controls, which was judged more in keeping with a minimalist, uncluttered design than adding further visual decoration would have been.</w:t>
      </w:r>
    </w:p>
    <w:p>
      <w:r>
        <w:t>Because every font referenced by the theme had to resolve locally rather than fetch a webfont from a remote CDN, consistent with the project's offline-only requirement (Section 5), the theme is built entirely from system font stacks (Segoe UI, Georgia and their generic fallbacks) rather than Gradio's optional Google Fonts integration. Building the theme surfaced two problems that would not have been visible from reading the theming API documentation alone: passing plain strings instead of Gradio's Font wrapper objects for the font stack caused a crash on startup when Gradio internally compared the custom theme against its built-in themes, and leaving the theme's dark-mode colour variants unset let a visitor's operating system colour preference silently override the intended palette with Gradio's default dark colours wherever a dark-mode counterpart had not been explicitly given. Both were fixed, the first by wrapping every font name in a Font object, the second by setting every dark-mode variable to the same value as its light counterpart so the theme renders identically regardless of the viewer's system preference, and the fix for each was confirmed by reloading the running application in the browser and taking a fresh screenshot. A third, more subtle issue was traced the same way: an unset border colour used internally to fill the empty space between grouped controls was resolving to a near-black default, producing a plain-looking dark block above the chat window and to the side of the document controls; the running page's own computed styles were inspected directly in the browser to identify which theme variable was responsible, and setting it to match the rest of the palette resolved it. The full test suite was re-run after these changes to confirm the styling work had not affected any pipeline or ingestion behaviour, and the core user flows, uploading and removing documents, asking and regenerating a question, saving and resuming a session, and switching model and answer-style settings, were each exercised again in a live browser session against the themed interface to check that nothing had regressed visually or functionally.</w:t>
      </w:r>
    </w:p>
    <w:p>
      <w:r>
        <w:t>A first pass at the layout stacked every control, upload widget, session buttons and index status, in a single row inside one grouped card. Because these three controls are naturally very different heights, the shared card's background filled the unused space beneath the shorter ones, producing a plain, unexplained block of colour that looked like an unfinished section rather than a deliberate design choice once seen in the browser rather than in the component code. The layout was rebuilt around a two-pane structure instead: a narrower sidebar column holding every document, session and settings control stacked vertically, beside a wider column dedicated entirely to the conversation. Because each pane's height is now set by its own stacked content rather than by the tallest control in a shared row, the mismatched-height gap cannot recur, and the sidebar's tinted background reads as an intentional panel rather than a stray artefact. This is a common structure in comparable chat applications, and was chosen over further decoration because it separates configuration from conversation without adding visual noise, in keeping with the project's minimalist design goal. The full test suite and the same set of live user flows listed above were re-run once more after the rebuild to confirm the restructuring was purely visual.</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A fresh evaluation run against the final shipped corpus (the three history-of-religion documents described in Section 4.2) was attempted for this report. It was left running for over two hours on the local CPU-only hardware and encountered repeated timeouts on individual feedback computations, a known cost of judging every answer with the same 8B-parameter model used for generation, discussed further below, rather than a smaller, purpose-built judge. It had not produced a complete result set within a reasonable time and was stopped rather than left to run indefinitely. The table below therefore reports the TMA03-stage figures, run against an earlier placeholder corpus of a lecture notes set, a textbook chapter and a personal summary rather than the corpus shipped with the final application. The relative pattern across chunk sizes, 512 characters outperforming both 256 and 1024, is what determined the default in config.py and is not expected to change with a different corpus of comparable size and structure, but the absolute scores in the table below should be read as carried forward from TMA03 rather than freshly measured against the final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a fresh run against the final corpus was attempted but did not complete).</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Looking back over the whole project, the thing I am most satisfied with is how consistently an iterative, build-something-small-and-test-it-immediately approach paid off, from the very first end-to-end pipeline in Week 5 through to the final enhancement phase. Several of the more serious bugs, the Gradio session state issue, the index-replacement-instead-of-merge fault, the chat history formatting error, were only found by using the running application as an ordinary user would, not by reading the code in isolation, and that lesson generalised well each time it came up again. I am also glad I treated TruLens as something to be understood properly rather than bolted on, since it forced me to think harder about what 'a good answer' actually means for this kind of system rather than relying on impression alone.</w:t>
      </w:r>
    </w:p>
    <w:p>
      <w:r>
        <w:t>What I am less satisfied with is how late I left the final evaluation re-run against the shipped corpus, and how much I underestimated the practical cost of CPU-only LLM-as-judge evaluation: a run that had taken roughly an hour on a different corpus at TMA03 stage still had not finished after more than two hours this time, and I ultimately had to accept the TMA03-stage figures rather than risk the whole report on an unfinished run. That was the right call under time pressure, but it is a planning failure on my part, not a hardware failure, since the risk was foreseeable and I did not budget for it early enough. The earlier LangChain version drift in Weeks 3 and 4 taught a similar lesson about underestimating dependency and infrastructure risk that I evidently had not fully internalised by the time I reached this final stage. If I were starting the project again, I would schedule any long-running, hardware-dependent task, evaluation especially, weeks rather than days before a deadline, and I would treat 'it worked once before' as weaker evidence of future runtime than I did this time.</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Jégou,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Küttler, H., Lewis, M., Yih, W., Rocktäschel,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(3 March to 16 March)</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(17 March to 30 March)</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(31 March to 6 April)</w:t>
      </w:r>
    </w:p>
    <w:p>
      <w:r>
        <w:t>Implemented a minimal end-to-end pipeline: load, split, embed, index, retrieve, generate. What went well: having something working end to end early made later problems easier to localise.</w:t>
      </w:r>
    </w:p>
    <w:p>
      <w:pPr>
        <w:pStyle w:val="Heading3"/>
      </w:pPr>
      <w:r>
        <w:t>Week 6 (7 April to 13 April)</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(14 April to 5 May)</w:t>
      </w:r>
    </w:p>
    <w:p>
      <w:r>
        <w:t>Documented the code, wrote and submitted TMA02.</w:t>
      </w:r>
    </w:p>
    <w:p>
      <w:pPr>
        <w:pStyle w:val="Heading3"/>
      </w:pPr>
      <w:r>
        <w:t>Week 10 (6 May to 12 May)</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(13 May to 19 May)</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(20 May to 26 May)</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(27 May to 2 June)</w:t>
      </w:r>
    </w:p>
    <w:p>
      <w:r>
        <w:t>Reviewed the TruLens results and noted the circularity concern of using the same model as both judge and generator (Section 4.3). Drafted the project work section of TMA03.</w:t>
      </w:r>
    </w:p>
    <w:p>
      <w:pPr>
        <w:pStyle w:val="Heading3"/>
      </w:pPr>
      <w:r>
        <w:t>Week 14 to 15 (3 June to 16 June)</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(Late July)</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(Early August)</w:t>
      </w:r>
    </w:p>
    <w:p>
      <w:r>
        <w:t>Regenerated the architecture diagram and interface screenshots for the report, re-ran the full pytest suite (eleven tests passing throughout, no regressions from the Week 16 to 17 changes), and attempted a fresh TruLens evaluation against the final sample corpus so Section 4.3 would reflect the shipped documents rather than the earlier placeholder corpus used at TMA03 stage. The run was left going for over two hours on the local CPU-only hardware and hit repeated per-question timeouts; it was stopped before completion rather than left running indefinitely, and Section 4.3 records the TMA03-stage figures with an explicit note explaining why, rather than presenting them as if newly measured. What did not go well: a full three-chunk-size TruLens run proved considerably less predictable in wall-clock time on this hardware than the TMA03-stage run had been. Lesson: budget evaluation re-runs well ahead of a deadline, and treat CPU-only LLM-as-judge evaluation as a variable-duration task rather than a fixed one.</w:t>
      </w:r>
    </w:p>
    <w:p>
      <w:pPr>
        <w:pStyle w:val="Heading3"/>
      </w:pPr>
      <w:r>
        <w:t>Week 19 (Early August)</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w:t>
      </w:r>
    </w:p>
    <w:p>
      <w:pPr>
        <w:pStyle w:val="Heading3"/>
      </w:pPr>
      <w:r>
        <w:t>Week 20 (Mid August)</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w:t>
      </w:r>
    </w:p>
    <w:p>
      <w:pPr>
        <w:pStyle w:val="Heading3"/>
      </w:pPr>
      <w:r>
        <w:t>Week 21 (Mid August)</w:t>
      </w:r>
    </w:p>
    <w:p>
      <w:r>
        <w:t>Added a third quality-of-life feature: a 'Regenerate answer' action that re-asks the most recent question in place, for cases where a non-deterministic generation run produces a poorly phrased summary of an otherwise correctly retrieved passage. The action locates the last user turn in the chat history, discards the stale answer and excerpts panel, removes the matching turn from conversation memory so it is not duplicated, and streams a fresh answer using the same retrieval and generation path as an ordinary question. Encountered and fixed a bug during live testing: the chat history component occasionally returns message content as a list of structured text parts rather than a plain string, which raised a validation error when passed straight to the embedding call; a small helper was added to normalise both forms before re-asking the question. A new unit test was added confirming that regenerating an answer replaces the previous memory turn rather than appending to it, and the fix was confirmed live in the browser by asking a question, regenerating it, and checking the conversation still held exactly one exchange. What went well: testing directly against the running application, rather than only the unit test fakes, caught a real formatting inconsistency in the chat component that the test suite alone would not have exercised.</w:t>
      </w:r>
    </w:p>
    <w:p>
      <w:pPr>
        <w:pStyle w:val="Heading3"/>
      </w:pPr>
      <w:r>
        <w:t>Week 22 (Mid August)</w:t>
      </w:r>
    </w:p>
    <w:p>
      <w:r>
        <w:t>Added retrieval distance scores to the 'view retrieved excerpts' panel, switching the retrieval call from FAISS's plain similarity search to its similarity-search-with-score equivalent so each excerpt can be labelled with the raw distance between the question and that chunk, described as 'lower is closer' rather than converted into a percentage that the underlying, non-normalised embeddings could not honestly support. The score is copied onto a new Document object rather than written into the FAISS docstore's own copy, so saved sessions and per-document manifests are unaffected. Two new unit tests were added, one confirming retrieval attaches a numeric score to every returned chunk and one confirming the excerpt formatter renders it correctly, and the feature was confirmed live in the browser, where the four excerpts returned for a sample question were shown in ascending distance order. What went well: the FAISS distance-scored search accepts the same k and filter arguments as the plain search used previously, so no other retrieval logic needed to change.</w:t>
      </w:r>
    </w:p>
    <w:p>
      <w:pPr>
        <w:pStyle w:val="Heading3"/>
      </w:pPr>
      <w:r>
        <w:t>Week 23 (Late August)</w:t>
      </w:r>
    </w:p>
    <w:p>
      <w:r>
        <w:t>Added a generation model selector, reading the list of models currently pulled in the local Ollama server from its /api/tags endpoint and populating an 'Advanced settings' dropdown with it on every page load, matching the existing pattern used for the connectivity banner. The configured embedding model is filtered out of this list, since it is not a chat model. Selecting a model rebuilds the pipeline's generation client without affecting the embedding client or the FAISS index. Found and fixed a bug during live testing: a model chosen before any document was loaded had no visible effect, because no pipeline object yet existed to hold the choice and a newly created pipeline always read the original default model from configuration. Fixed by remembering the choice on the shared configuration object when no pipeline yet exists, so the pipeline created on the first upload or sample-load reads the chosen model instead of the original default. Two new unit tests cover both the case where a pipeline already exists and the case where it does not. What went well: this is the second bug in this enhancement phase, after the chat message formatting issue in Week 21, that only surfaced under live browser testing rather than the unit test suite, reinforcing the value of testing the actual running application rather than relying on automated tests alone.</w:t>
      </w:r>
    </w:p>
    <w:p>
      <w:pPr>
        <w:pStyle w:val="Heading3"/>
      </w:pPr>
      <w:r>
        <w:t>Week 24 (Late August)</w:t>
      </w:r>
    </w:p>
    <w:p>
      <w:r>
        <w:t>Fixed a duplicate-chunk bug found by re-reading the ingestion code rather than through live testing: uploading a document with the same filename as one already loaded added a second copy of its chunks to the index instead of replacing the first, so an outdated and a corrected version of the same document could both be retrieved and cited. Ingest now discards any chunks already tracked under an incoming filename before adding the replacement, and the interface reports which filenames were replaced. While testing this live, found a second, related issue: Gradio's upload widget resends every file it has ever held on each new upload, not only the newest one, so dropping a corrected file in without first removing the old entry sent both copies in a single ingest call; fixed by keeping only the last path for a given filename within one call. Three new unit tests were added, and the fix was confirmed live in the browser by uploading a short file, then uploading a differently worded second version under the same name, and checking the assistant's answer and citation reflected only the newer wording. What went well: writing a test for the exact scenario just fixed, before moving on, caught that the first fix alone was incomplete once the within-call case was considered, which a purely mental review of the diff had missed.</w:t>
      </w:r>
    </w:p>
    <w:p>
      <w:pPr>
        <w:pStyle w:val="Heading3"/>
      </w:pPr>
      <w:r>
        <w:t>Week 25 (Late August)</w:t>
      </w:r>
    </w:p>
    <w:p>
      <w:r>
        <w:t>Added an answer-style control, letting a user choose between the existing concise instruction and a new detailed instruction in the system prompt's third rule, without changing anything else about grounding or citation behaviour. The choice is stored on the same shared settings object used for the generation model and chunk count, following the pattern already established for the model selector, including the same before-any-pipeline and after-a-pipeline-exists cases. The evaluation harness was updated to pass the default concise instruction explicitly, since the prompt template gained a new placeholder that its own call site had to satisfy. Four new unit tests were added: two confirming the prompt sent to the model contains the correct instruction for each style, and two covering the interface-level setting-versus-pipeline logic. Confirmed live in the browser by switching to the detailed style, loading the sample documents, and comparing the length and structure of the resulting answer against an earlier concise answer in the same session. What went well: reusing the existing model-selector pattern for where a setting is stored meant no new state-handling logic had to be designed from scratch, only a new setting name and a new UI control needed to be added.</w:t>
      </w:r>
    </w:p>
    <w:p>
      <w:pPr>
        <w:pStyle w:val="Heading3"/>
      </w:pPr>
      <w:r>
        <w:t>Week 26 (Early September)</w:t>
      </w:r>
    </w:p>
    <w:p>
      <w:r>
        <w:t>Made multi-file ingestion tolerant of individual file failures: previously, one unsupported or corrupted file in an upload batch aborted ingestion entirely, discarding chunks already extracted from every other valid file in the same batch. A new ingestion helper now loads each file independently, catching and recording a filename-and-error-message pair for any that fail, so the rest of the batch is still ingested; the existing strict version used by the evaluation harness was left unchanged. The interface now reports which filenames could not be processed and why, alongside the existing chunk-count and replaced-document messaging. Three new unit tests were added covering the ingestion helper directly and the pipeline's ingest method with a mixed batch of one good and one unsupported file. Live testing in the browser found that Gradio's own upload widget already blocks disallowed extensions client-side before they reach the application, so the scenario was instead exercised with a permitted .txt extension containing invalid byte sequences alongside a valid file, confirming the valid file was still ingested and answerable while the corrupted one was named in the status message. What went well: designing the test for the ingestion helper before wiring it into the pipeline made the pipeline-level test straightforward, since only the mixed-batch scenario needed checking again at that layer.</w:t>
      </w:r>
    </w:p>
    <w:p>
      <w:pPr>
        <w:pStyle w:val="Heading3"/>
      </w:pPr>
      <w:r>
        <w:t>Week 27 (Early September)</w:t>
      </w:r>
    </w:p>
    <w:p>
      <w:r>
        <w:t>Designed and applied a bespoke visual theme to replace Gradio's default styling, giving the application a distinct, minimalist identity built on the theming API rather than replacement HTML, so every built-in control kept its normal behaviour. Two problems only appeared once the theme was actually run in the browser rather than merely read as code: passing plain strings for the font stack crashed the application on startup, because Gradio compares a custom theme's fonts against its built-in themes' Font objects when deciding whether the theme is custom, and a dark-mode colour preference on the test machine silently overrode every theme colour that had no explicit dark-mode counterpart set. Both were fixed and confirmed by reloading the running page and taking a screenshot after each change. A further, more subtle visual bug, a plain dark block appearing above the chat window, was traced by inspecting the running page's own computed styles directly in the browser rather than guessing from the theme code, which identified an unset border colour as the cause; the same technique was reused a moment later to fix an unstyled dark checkbox once the first fix revealed the pattern. The full unit test suite was re-run to confirm the purely visual changes had not affected any pipeline or ingestion behaviour, and every core user flow, uploading and removing documents, asking and regenerating an answer, saving and resuming a session, and switching model and answer-style settings, was re-exercised live in the browser against the themed interface. What went well: reproducing each visual bug in the running application and inspecting its computed styles directly, rather than reasoning about the theme purely from its source code, found the actual cause of two of the three visual bugs far faster than code review alone would have. Live review of the themed interface afterwards still showed one plain colour block, this time beneath the mismatched-height upload controls rather than caused by an unset theme variable, so the layout itself was rebuilt around a two-pane sidebar-and-conversation structure, each pane sized by its own stacked content rather than a shared row of differently sized controls. The unit test suite and every live user flow exercised earlier in the week were re-run once more after the rebuild. What went well: recognising that this final artefact was a layout problem rather than another missing colour variable, since it reappeared in a different place after the previous fixes, avoided repeating the same colour-variable investigation on a bug that colour variables could not actually fix. The same week, addressed the two remaining items from TMA03 tutor feedback that had not yet been actioned: a request for a UML-style diagram alongside the existing component-level architecture diagram, and the outstanding re-run of the TruLens evaluation against the final shipped corpus. A UML sequence diagram was produced, tracing a single question through the running system over time, from the user's request through embedding, FAISS retrieval, prompt assembly and generation, back to the rendered answer, as a companion to the existing component diagram rather than a replacement for it. The evaluation re-run itself is covered in the Week 18 entry above: it was attempted against the three shipped sample documents but did not complete in reasonable time on the available hardware, so Section 4.3 still reports the TMA03-stage figures with that limitation stated plainly rather than presenting them as newly measured. What went well: keeping the evaluation script itself unchanged from TMA03 meant the attempted re-run needed no code changes, only a live Ollama server with both models already pulled, confirming the evaluation harness itself was reusable against a different corpus even though the run could not be completed in time.</w:t>
      </w:r>
    </w:p>
    <w:p>
      <w:pPr>
        <w:pStyle w:val="Heading3"/>
      </w:pPr>
      <w:r>
        <w:t>Week 28 (Early September)</w:t>
      </w:r>
    </w:p>
    <w:p>
      <w:r>
        <w:t>Carried out a final pre-submission review of this report against the application's actual source code and against TMA03, checking each technical claim and the project log's own running test count against the live codebase rather than trusting earlier entries by recollection. This surfaced one real, if minor, test coverage gap: ConversationMemory's turn-trimming logic, dropping the oldest turn once max_turns or max_tokens is exceeded, was only exercised indirectly through the pipeline-level memory tests, not directly against the class itself. Added a dedicated test_memory.py covering turn accumulation, both trimming conditions, pop_last_turn on both a populated and an empty memory, transcript formatting, and clearing. Live testing the same day, deliberately trying a question with no answer in the loaded material, found a second, genuine issue: a correctly declined question still listed 'Source:' lines for the nearest chunks by distance, even though those chunks were not actually used to answer, misrepresenting a decline as a grounded answer. Fixed by adding an is_decline() check against the fixed decline phrasing the system prompt already mandates, and suppressing the citation block, though not the retrieved-excerpts panel, whenever it fires, confirmed live by asking an out-of-scope question and checking the reply no longer cited sources it had not used. Four further unit tests were added covering both the helper directly and its effect on query() and query_stream(). Separately, uploading an unrelated document (deliberately not the sample pack) showed the fixed 'Example questions' buttons still naming sample-pack specifics such as Akhenaten and the Council of Nicaea, inviting clicks that would just be declined. Fixed by hiding that panel whenever the loaded documents are not exactly the shipped sample pack, verified live the same way, with four more unit tests, bringing the suite to fifty-three tests, all passing. A related suggestion, to market the application for high-stakes, zero-error-tolerance domains such as law, was deliberately not acted on: no locally-run model can honestly make that guarantee, and doing so would contradict Section 5.3's own framing of citations and groundedness as mitigating rather than eliminating the risk of an unsupported answer. Instead, added an interface accordion setting out in plain terms what the tool is a good fit for and what it is not, consistent with the existing ethical position rather than overstating it. What went well: reviewing the report against the running code one final time, rather than treating it as finished once the main enhancement phase ended, caught a genuine gap that a read of the report text alone would not have revealed.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