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Jégou,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Jégou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tcPr>
          <w:p>
            <w:r>
              <w:rPr>
                <w:b/>
              </w:rPr>
              <w:t>Phase</w:t>
            </w:r>
          </w:p>
        </w:tc>
        <w:tc>
          <w:tcPr>
            <w:tcW w:type="dxa" w:w="1008"/>
          </w:tcPr>
          <w:p>
            <w:r>
              <w:rPr>
                <w:b/>
              </w:rPr>
              <w:t>Weeks</w:t>
            </w:r>
          </w:p>
        </w:tc>
        <w:tc>
          <w:tcPr>
            <w:tcW w:type="dxa" w:w="1584"/>
          </w:tcPr>
          <w:p>
            <w:r>
              <w:rPr>
                <w:b/>
              </w:rPr>
              <w:t>Dates</w:t>
            </w:r>
          </w:p>
        </w:tc>
        <w:tc>
          <w:tcPr>
            <w:tcW w:type="dxa" w:w="5184"/>
          </w:tcPr>
          <w:p>
            <w:r>
              <w:rPr>
                <w:b/>
              </w:rPr>
              <w:t>Activity</w:t>
            </w:r>
          </w:p>
        </w:tc>
        <w:tc>
          <w:tcPr>
            <w:tcW w:type="dxa" w:w="1440"/>
          </w:tcPr>
          <w:p>
            <w:r>
              <w:rPr>
                <w:b/>
              </w:rPr>
              <w:t>Status</w:t>
            </w:r>
          </w:p>
        </w:tc>
      </w:tr>
      <w:tr>
        <w:tc>
          <w:tcPr>
            <w:tcW w:type="dxa" w:w="720"/>
          </w:tcPr>
          <w:p>
            <w:r>
              <w:t>1</w:t>
            </w:r>
          </w:p>
        </w:tc>
        <w:tc>
          <w:tcPr>
            <w:tcW w:type="dxa" w:w="1008"/>
          </w:tcPr>
          <w:p>
            <w:r>
              <w:t>1 to 2</w:t>
            </w:r>
          </w:p>
        </w:tc>
        <w:tc>
          <w:tcPr>
            <w:tcW w:type="dxa" w:w="1584"/>
          </w:tcPr>
          <w:p>
            <w:r>
              <w:t>3 Mar to 16 Mar</w:t>
            </w:r>
          </w:p>
        </w:tc>
        <w:tc>
          <w:tcPr>
            <w:tcW w:type="dxa" w:w="5184"/>
          </w:tcPr>
          <w:p>
            <w:r>
              <w:t>Background reading and environment setup</w:t>
            </w:r>
          </w:p>
        </w:tc>
        <w:tc>
          <w:tcPr>
            <w:tcW w:type="dxa" w:w="1440"/>
          </w:tcPr>
          <w:p>
            <w:r>
              <w:t>Complete</w:t>
            </w:r>
          </w:p>
        </w:tc>
      </w:tr>
      <w:tr>
        <w:tc>
          <w:tcPr>
            <w:tcW w:type="dxa" w:w="720"/>
          </w:tcPr>
          <w:p>
            <w:r>
              <w:t>2</w:t>
            </w:r>
          </w:p>
        </w:tc>
        <w:tc>
          <w:tcPr>
            <w:tcW w:type="dxa" w:w="1008"/>
          </w:tcPr>
          <w:p>
            <w:r>
              <w:t>3 to 4</w:t>
            </w:r>
          </w:p>
        </w:tc>
        <w:tc>
          <w:tcPr>
            <w:tcW w:type="dxa" w:w="1584"/>
          </w:tcPr>
          <w:p>
            <w:r>
              <w:t>17 Mar to 30 Mar</w:t>
            </w:r>
          </w:p>
        </w:tc>
        <w:tc>
          <w:tcPr>
            <w:tcW w:type="dxa" w:w="5184"/>
          </w:tcPr>
          <w:p>
            <w:r>
              <w:t>LangChain tutorials and FAISS exploration</w:t>
            </w:r>
          </w:p>
        </w:tc>
        <w:tc>
          <w:tcPr>
            <w:tcW w:type="dxa" w:w="1440"/>
          </w:tcPr>
          <w:p>
            <w:r>
              <w:t>Complete</w:t>
            </w:r>
          </w:p>
        </w:tc>
      </w:tr>
      <w:tr>
        <w:tc>
          <w:tcPr>
            <w:tcW w:type="dxa" w:w="720"/>
          </w:tcPr>
          <w:p>
            <w:r>
              <w:t>3</w:t>
            </w:r>
          </w:p>
        </w:tc>
        <w:tc>
          <w:tcPr>
            <w:tcW w:type="dxa" w:w="1008"/>
          </w:tcPr>
          <w:p>
            <w:r>
              <w:t>5</w:t>
            </w:r>
          </w:p>
        </w:tc>
        <w:tc>
          <w:tcPr>
            <w:tcW w:type="dxa" w:w="1584"/>
          </w:tcPr>
          <w:p>
            <w:r>
              <w:t>31 Mar to 6 Apr</w:t>
            </w:r>
          </w:p>
        </w:tc>
        <w:tc>
          <w:tcPr>
            <w:tcW w:type="dxa" w:w="5184"/>
          </w:tcPr>
          <w:p>
            <w:r>
              <w:t>Minimal end-to-end pipeline implementation</w:t>
            </w:r>
          </w:p>
        </w:tc>
        <w:tc>
          <w:tcPr>
            <w:tcW w:type="dxa" w:w="1440"/>
          </w:tcPr>
          <w:p>
            <w:r>
              <w:t>Complete</w:t>
            </w:r>
          </w:p>
        </w:tc>
      </w:tr>
      <w:tr>
        <w:tc>
          <w:tcPr>
            <w:tcW w:type="dxa" w:w="720"/>
          </w:tcPr>
          <w:p>
            <w:r>
              <w:t>4</w:t>
            </w:r>
          </w:p>
        </w:tc>
        <w:tc>
          <w:tcPr>
            <w:tcW w:type="dxa" w:w="1008"/>
          </w:tcPr>
          <w:p>
            <w:r>
              <w:t>6</w:t>
            </w:r>
          </w:p>
        </w:tc>
        <w:tc>
          <w:tcPr>
            <w:tcW w:type="dxa" w:w="1584"/>
          </w:tcPr>
          <w:p>
            <w:r>
              <w:t>7 Apr to 13 Apr</w:t>
            </w:r>
          </w:p>
        </w:tc>
        <w:tc>
          <w:tcPr>
            <w:tcW w:type="dxa" w:w="5184"/>
          </w:tcPr>
          <w:p>
            <w:r>
              <w:t>Chunking and embedding experimentation</w:t>
            </w:r>
          </w:p>
        </w:tc>
        <w:tc>
          <w:tcPr>
            <w:tcW w:type="dxa" w:w="1440"/>
          </w:tcPr>
          <w:p>
            <w:r>
              <w:t>Complete</w:t>
            </w:r>
          </w:p>
        </w:tc>
      </w:tr>
      <w:tr>
        <w:tc>
          <w:tcPr>
            <w:tcW w:type="dxa" w:w="720"/>
          </w:tcPr>
          <w:p>
            <w:r>
              <w:t>5</w:t>
            </w:r>
          </w:p>
        </w:tc>
        <w:tc>
          <w:tcPr>
            <w:tcW w:type="dxa" w:w="1008"/>
          </w:tcPr>
          <w:p>
            <w:r>
              <w:t>7 to 8</w:t>
            </w:r>
          </w:p>
        </w:tc>
        <w:tc>
          <w:tcPr>
            <w:tcW w:type="dxa" w:w="1584"/>
          </w:tcPr>
          <w:p>
            <w:r>
              <w:t>14 Apr to 27 Apr</w:t>
            </w:r>
          </w:p>
        </w:tc>
        <w:tc>
          <w:tcPr>
            <w:tcW w:type="dxa" w:w="5184"/>
          </w:tcPr>
          <w:p>
            <w:r>
              <w:t>Code documentation and TMA02 write-up</w:t>
            </w:r>
          </w:p>
        </w:tc>
        <w:tc>
          <w:tcPr>
            <w:tcW w:type="dxa" w:w="1440"/>
          </w:tcPr>
          <w:p>
            <w:r>
              <w:t>Complete</w:t>
            </w:r>
          </w:p>
        </w:tc>
      </w:tr>
      <w:tr>
        <w:tc>
          <w:tcPr>
            <w:tcW w:type="dxa" w:w="720"/>
          </w:tcPr>
          <w:p>
            <w:r>
              <w:t>6</w:t>
            </w:r>
          </w:p>
        </w:tc>
        <w:tc>
          <w:tcPr>
            <w:tcW w:type="dxa" w:w="1008"/>
          </w:tcPr>
          <w:p>
            <w:r>
              <w:t>9</w:t>
            </w:r>
          </w:p>
        </w:tc>
        <w:tc>
          <w:tcPr>
            <w:tcW w:type="dxa" w:w="1584"/>
          </w:tcPr>
          <w:p>
            <w:r>
              <w:t>28 Apr to 5 May</w:t>
            </w:r>
          </w:p>
        </w:tc>
        <w:tc>
          <w:tcPr>
            <w:tcW w:type="dxa" w:w="5184"/>
          </w:tcPr>
          <w:p>
            <w:r>
              <w:t>TMA02 finalisation and submission</w:t>
            </w:r>
          </w:p>
        </w:tc>
        <w:tc>
          <w:tcPr>
            <w:tcW w:type="dxa" w:w="1440"/>
          </w:tcPr>
          <w:p>
            <w:r>
              <w:t>Complete</w:t>
            </w:r>
          </w:p>
        </w:tc>
      </w:tr>
      <w:tr>
        <w:tc>
          <w:tcPr>
            <w:tcW w:type="dxa" w:w="720"/>
          </w:tcPr>
          <w:p>
            <w:r>
              <w:t>7</w:t>
            </w:r>
          </w:p>
        </w:tc>
        <w:tc>
          <w:tcPr>
            <w:tcW w:type="dxa" w:w="1008"/>
          </w:tcPr>
          <w:p>
            <w:r>
              <w:t>10 to 11</w:t>
            </w:r>
          </w:p>
        </w:tc>
        <w:tc>
          <w:tcPr>
            <w:tcW w:type="dxa" w:w="1584"/>
          </w:tcPr>
          <w:p>
            <w:r>
              <w:t>6 May to 19 May</w:t>
            </w:r>
          </w:p>
        </w:tc>
        <w:tc>
          <w:tcPr>
            <w:tcW w:type="dxa" w:w="5184"/>
          </w:tcPr>
          <w:p>
            <w:r>
              <w:t>Gradio UI development, conversation memory, .docx support</w:t>
            </w:r>
          </w:p>
        </w:tc>
        <w:tc>
          <w:tcPr>
            <w:tcW w:type="dxa" w:w="1440"/>
          </w:tcPr>
          <w:p>
            <w:r>
              <w:t>Complete</w:t>
            </w:r>
          </w:p>
        </w:tc>
      </w:tr>
      <w:tr>
        <w:tc>
          <w:tcPr>
            <w:tcW w:type="dxa" w:w="720"/>
          </w:tcPr>
          <w:p>
            <w:r>
              <w:t>8</w:t>
            </w:r>
          </w:p>
        </w:tc>
        <w:tc>
          <w:tcPr>
            <w:tcW w:type="dxa" w:w="1008"/>
          </w:tcPr>
          <w:p>
            <w:r>
              <w:t>12 to 13</w:t>
            </w:r>
          </w:p>
        </w:tc>
        <w:tc>
          <w:tcPr>
            <w:tcW w:type="dxa" w:w="1584"/>
          </w:tcPr>
          <w:p>
            <w:r>
              <w:t>20 May to 2 Jun</w:t>
            </w:r>
          </w:p>
        </w:tc>
        <w:tc>
          <w:tcPr>
            <w:tcW w:type="dxa" w:w="5184"/>
          </w:tcPr>
          <w:p>
            <w:r>
              <w:t>TruLens evaluation harness and chunk size comparison</w:t>
            </w:r>
          </w:p>
        </w:tc>
        <w:tc>
          <w:tcPr>
            <w:tcW w:type="dxa" w:w="1440"/>
          </w:tcPr>
          <w:p>
            <w:r>
              <w:t>Complete</w:t>
            </w:r>
          </w:p>
        </w:tc>
      </w:tr>
      <w:tr>
        <w:tc>
          <w:tcPr>
            <w:tcW w:type="dxa" w:w="720"/>
          </w:tcPr>
          <w:p>
            <w:r>
              <w:t>9</w:t>
            </w:r>
          </w:p>
        </w:tc>
        <w:tc>
          <w:tcPr>
            <w:tcW w:type="dxa" w:w="1008"/>
          </w:tcPr>
          <w:p>
            <w:r>
              <w:t>14 to 15</w:t>
            </w:r>
          </w:p>
        </w:tc>
        <w:tc>
          <w:tcPr>
            <w:tcW w:type="dxa" w:w="1584"/>
          </w:tcPr>
          <w:p>
            <w:r>
              <w:t>3 Jun to 16 Jun</w:t>
            </w:r>
          </w:p>
        </w:tc>
        <w:tc>
          <w:tcPr>
            <w:tcW w:type="dxa" w:w="5184"/>
          </w:tcPr>
          <w:p>
            <w:r>
              <w:t>Evaluation analysis and TMA03 write-up</w:t>
            </w:r>
          </w:p>
        </w:tc>
        <w:tc>
          <w:tcPr>
            <w:tcW w:type="dxa" w:w="1440"/>
          </w:tcPr>
          <w:p>
            <w:r>
              <w:t>Complete</w:t>
            </w:r>
          </w:p>
        </w:tc>
      </w:tr>
      <w:tr>
        <w:tc>
          <w:tcPr>
            <w:tcW w:type="dxa" w:w="720"/>
          </w:tcPr>
          <w:p>
            <w:r>
              <w:t>10</w:t>
            </w:r>
          </w:p>
        </w:tc>
        <w:tc>
          <w:tcPr>
            <w:tcW w:type="dxa" w:w="1008"/>
          </w:tcPr>
          <w:p>
            <w:r>
              <w:t>16 to 17</w:t>
            </w:r>
          </w:p>
        </w:tc>
        <w:tc>
          <w:tcPr>
            <w:tcW w:type="dxa" w:w="1584"/>
          </w:tcPr>
          <w:p>
            <w:r>
              <w:t>Jul</w:t>
            </w:r>
          </w:p>
        </w:tc>
        <w:tc>
          <w:tcPr>
            <w:tcW w:type="dxa" w:w="5184"/>
          </w:tcPr>
          <w:p>
            <w:r>
              <w:t>Response to TMA03 feedback: risk mitigation detail, schedule and evaluation presented as tables, architecture diagram and interface screenshots, sample corpus sourcing</w:t>
            </w:r>
          </w:p>
        </w:tc>
        <w:tc>
          <w:tcPr>
            <w:tcW w:type="dxa" w:w="1440"/>
          </w:tcPr>
          <w:p>
            <w:r>
              <w:t>Complete</w:t>
            </w:r>
          </w:p>
        </w:tc>
      </w:tr>
      <w:tr>
        <w:tc>
          <w:tcPr>
            <w:tcW w:type="dxa" w:w="720"/>
          </w:tcPr>
          <w:p>
            <w:r>
              <w:t>11</w:t>
            </w:r>
          </w:p>
        </w:tc>
        <w:tc>
          <w:tcPr>
            <w:tcW w:type="dxa" w:w="1008"/>
          </w:tcPr>
          <w:p>
            <w:r>
              <w:t>18</w:t>
            </w:r>
          </w:p>
        </w:tc>
        <w:tc>
          <w:tcPr>
            <w:tcW w:type="dxa" w:w="1584"/>
          </w:tcPr>
          <w:p>
            <w:r>
              <w:t>Sep</w:t>
            </w:r>
          </w:p>
        </w:tc>
        <w:tc>
          <w:tcPr>
            <w:tcW w:type="dxa" w:w="5184"/>
          </w:tcPr>
          <w:p>
            <w:r>
              <w:t>Evaluation re-run attempted against final shipped corpus (stopped before completion, see Appendix 2); EMA write-up and submission</w:t>
            </w:r>
          </w:p>
        </w:tc>
        <w:tc>
          <w:tcPr>
            <w:tcW w:type="dxa" w:w="1440"/>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Jégou,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768-dimensional vector for each chunk. The FAISS index is built from these vectors and saved to disk. Indexing time scales with corpus size and is dominated by the embedding calls rather than FAISS itself, since inserting an already-computed vector into the index is close to instantaneous; loading a previously saved index back from disk is consistently sub-second regardless of corpus size, since it requires no new embedding calls at all, which is what makes the session save and resume feature described later in this section practical rather than merely convenient.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Every response carries a citation in the fixed format 'Source: [filename], page [n]', with the page number recorded from the source document's own metadata where the loader provides one and reported as 'n/a' for plain text files, which have no page structure to record.</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two short accordions: one explaining why some questions are declined, and one, added after a final review of who is actually likely to use the application, setting out what it is a good fit for (coursework revision and checking your own documents, where every answer traces back to a citation) against what it is not (professional advice in law, medicine, finance or other high-stakes domains, where grounding and citations reduce but do not eliminate the risk of an unsupported answer).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2673573"/>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2673573"/>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2673573"/>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2673573"/>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r>
        <w:t>Figure 3 shows the components and their static relationships; Figure 4 complements it with a UML sequence diagram tracing a single question through the running system over time, showing which component is responsible for each step and which calls return a value before the next step can proceed.</w:t>
      </w:r>
    </w:p>
    <w:p>
      <w:pPr>
        <w:jc w:val="center"/>
      </w:pPr>
      <w:r>
        <w:drawing>
          <wp:inline xmlns:a="http://schemas.openxmlformats.org/drawingml/2006/main" xmlns:pic="http://schemas.openxmlformats.org/drawingml/2006/picture">
            <wp:extent cx="5760720" cy="4189615"/>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760720" cy="4189615"/>
                    </a:xfrm>
                    <a:prstGeom prst="rect"/>
                  </pic:spPr>
                </pic:pic>
              </a:graphicData>
            </a:graphic>
          </wp:inline>
        </w:drawing>
      </w:r>
    </w:p>
    <w:p>
      <w:pPr>
        <w:jc w:val="center"/>
      </w:pPr>
      <w:r>
        <w:rPr>
          <w:i/>
          <w:sz w:val="19"/>
        </w:rPr>
        <w:t>Figure 4: UML sequence diagram for the 'ask a question' interaction.</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3"/>
      </w:pPr>
      <w:r>
        <w:t>Tolerant Multi-File Ingestion</w:t>
      </w:r>
    </w:p>
    <w:p>
      <w:r>
        <w:t>Ingesting a batch of files previously aborted the whole upload the moment any single file failed to load, whether an unsupported type or a document that was simply corrupted, discarding chunks already extracted from every other, perfectly valid file in the same batch. A new filename-and-error-message pair is now recorded for each file that fails, and loading continues with whatever remains, so one bad file no longer costs a user their entire upload. The interface reports which filenames could not be processed and why, alongside the existing chunk count and replaced-document notes.</w:t>
      </w:r>
    </w:p>
    <w:p>
      <w:r>
        <w:t>Two new ingestion-level unit tests confirm a batch with one unsupported file still returns the successfully loaded document while reporting the failure, and that a fully successful batch reports no failures at all; a further pipeline-level test confirms the same behaviour once chunking and indexing are involved. Live testing in the browser found that Gradio's own upload widget already rejects disallowed extensions before they reach the application, so this path is chiefly exercised by a file with a permitted extension that is otherwise unreadable; this was confirmed by uploading a .txt file containing invalid byte sequences alongside a valid one, and checking that the valid file was still ingested and answerable while the corrupted one was named in the status message.</w:t>
      </w:r>
    </w:p>
    <w:p>
      <w:pPr>
        <w:pStyle w:val="Heading3"/>
      </w:pPr>
      <w:r>
        <w:t>Bespoke Interface Theme</w:t>
      </w:r>
    </w:p>
    <w:p>
      <w:r>
        <w:t>The interface originally used Gradio's default styling, which is functional but generic and gives no visual identity to the application. A bespoke theme was designed and applied instead, built on Gradio's theming API rather than custom HTML, so that every built-in component, buttons, sliders, checkboxes, accordions, still behaves and responds exactly as Gradio intends while presenting a warm, parchment-toned colour palette (a cream background, a deep teal accent colour for primary actions and links, and a muted amber border colour) together with a serif heading font for the title and a system sans-serif font for body text. A short gradient header banner introduces the application by name, states in a single line what it does, and carries a badge reading 'Runs entirely offline; nothing leaves this machine', restating the project's offline-first principle directly in the interface rather than leaving it only in the documentation. The upload, settings and conversation controls are each wrapped in a visually distinct card-like group so the page reads as a small number of clear sections rather than one undifferentiated column of controls, which was judged more in keeping with a minimalist, uncluttered design than adding further visual decoration would have been.</w:t>
      </w:r>
    </w:p>
    <w:p>
      <w:r>
        <w:t>Because every font referenced by the theme had to resolve locally rather than fetch a webfont from a remote CDN, consistent with the project's offline-only requirement (Section 5), the theme is built entirely from system font stacks (Segoe UI, Georgia and their generic fallbacks) rather than Gradio's optional Google Fonts integration. Building the theme surfaced two problems that would not have been visible from reading the theming API documentation alone: passing plain strings instead of Gradio's Font wrapper objects for the font stack caused a crash on startup when Gradio internally compared the custom theme against its built-in themes, and leaving the theme's dark-mode colour variants unset let a visitor's operating system colour preference silently override the intended palette with Gradio's default dark colours wherever a dark-mode counterpart had not been explicitly given. Both were fixed, the first by wrapping every font name in a Font object, the second by setting every dark-mode variable to the same value as its light counterpart so the theme renders identically regardless of the viewer's system preference, and the fix for each was confirmed by reloading the running application in the browser and taking a fresh screenshot. A third, more subtle issue was traced the same way: an unset border colour used internally to fill the empty space between grouped controls was resolving to a near-black default, producing a plain-looking dark block above the chat window and to the side of the document controls; the running page's own computed styles were inspected directly in the browser to identify which theme variable was responsible, and setting it to match the rest of the palette resolved it. The full test suite was re-run after these changes to confirm the styling work had not affected any pipeline or ingestion behaviour, and the core user flows, uploading and removing documents, asking and regenerating a question, saving and resuming a session, and switching model and answer-style settings, were each exercised again in a live browser session against the themed interface to check that nothing had regressed visually or functionally.</w:t>
      </w:r>
    </w:p>
    <w:p>
      <w:r>
        <w:t>A first pass at the layout stacked every control, upload widget, session buttons and index status, in a single row inside one grouped card. Because these three controls are naturally very different heights, the shared card's background filled the unused space beneath the shorter ones, producing a plain, unexplained block of colour that looked like an unfinished section rather than a deliberate design choice once seen in the browser rather than in the component code. The layout was rebuilt around a two-pane structure instead: a narrower sidebar column holding every document, session and settings control stacked vertically, beside a wider column dedicated entirely to the conversation. Because each pane's height is now set by its own stacked content rather than by the tallest control in a shared row, the mismatched-height gap cannot recur, and the sidebar's tinted background reads as an intentional panel rather than a stray artefact. This is a common structure in comparable chat applications, and was chosen over further decoration because it separates configuration from conversation without adding visual noise, in keeping with the project's minimalist design goal. The full test suite and the same set of live user flows listed above were re-run once more after the rebuild to confirm the restructuring was purely visual.</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A fresh evaluation run against the final shipped corpus (the three history-of-religion documents described in Section 4.2) was attempted for this report. It was left running for over two hours on the local CPU-only hardware and encountered repeated timeouts on individual feedback computations, a known cost of judging every answer with the same 8B-parameter model used for generation, discussed further below, rather than a smaller, purpose-built judge. It had not produced a complete result set within a reasonable time and was stopped rather than left to run indefinitely. The table below therefore reports the TMA03-stage figures, run against an earlier placeholder corpus of a lecture notes set, a textbook chapter and a personal summary rather than the corpus shipped with the final application. The relative pattern across chunk sizes, 512 characters outperforming both 256 and 1024, is what determined the default in config.py and is not expected to change with a different corpus of comparable size and structure, but the absolute scores in the table below should be read as carried forward from TMA03 rather than freshly measured against the final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a fresh run against the final corpus was attempted but did not complete).</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Looking back over the whole project, the thing I am most satisfied with is how consistently an iterative, build-something-small-and-test-it-immediately approach paid off, from the very first end-to-end pipeline in Week 5 through to the final enhancement phase. Several of the more serious bugs, the Gradio session state issue, the index-replacement-instead-of-merge fault, the chat history formatting error, were only found by using the running application as an ordinary user would, not by reading the code in isolation, and that lesson generalised well each time it came up again. I am also glad I treated TruLens as something to be understood properly rather than bolted on, since it forced me to think harder about what 'a good answer' actually means for this kind of system rather than relying on impression alone.</w:t>
      </w:r>
    </w:p>
    <w:p>
      <w:r>
        <w:t>What I am less satisfied with is how late I left the final evaluation re-run against the shipped corpus, and how much I underestimated the practical cost of CPU-only LLM-as-judge evaluation: a run that had taken roughly an hour on a different corpus at TMA03 stage still had not finished after more than two hours this time, and I ultimately had to accept the TMA03-stage figures rather than risk the whole report on an unfinished run. That was the right call under time pressure, but it is a planning failure on my part, not a hardware failure, since the risk was foreseeable and I did not budget for it early enough. The earlier LangChain version drift in Weeks 3 and 4 taught a similar lesson about underestimating dependency and infrastructure risk that I evidently had not fully internalised by the time I reached this final stage. If I were starting the project again, I would schedule any long-running, hardware-dependent task, evaluation especially, weeks rather than days before a deadline, and I would treat 'it worked once before' as weaker evidence of future runtime than I did this time.</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Jégou,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Küttler, H., Lewis, M., Yih, W., Rocktäschel,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(3 March to 16 March)</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(17 March to 30 March)</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(31 March to 6 April)</w:t>
      </w:r>
    </w:p>
    <w:p>
      <w:r>
        <w:t>Implemented a minimal end-to-end pipeline: load, split, embed, index, retrieve, generate. What went well: having something working end to end early made later problems easier to localise.</w:t>
      </w:r>
    </w:p>
    <w:p>
      <w:pPr>
        <w:pStyle w:val="Heading3"/>
      </w:pPr>
      <w:r>
        <w:t>Week 6 (7 April to 13 April)</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(14 April to 5 May)</w:t>
      </w:r>
    </w:p>
    <w:p>
      <w:r>
        <w:t>Documented the code, wrote and submitted TMA02.</w:t>
      </w:r>
    </w:p>
    <w:p>
      <w:pPr>
        <w:pStyle w:val="Heading3"/>
      </w:pPr>
      <w:r>
        <w:t>Week 10 (6 May to 12 May)</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(13 May to 19 May)</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(20 May to 26 May)</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(27 May to 2 June)</w:t>
      </w:r>
    </w:p>
    <w:p>
      <w:r>
        <w:t>Reviewed the TruLens results and noted the circularity concern of using the same model as both judge and generator (Section 4.3). Drafted the project work section of TMA03.</w:t>
      </w:r>
    </w:p>
    <w:p>
      <w:pPr>
        <w:pStyle w:val="Heading3"/>
      </w:pPr>
      <w:r>
        <w:t>Week 14 to 15 (3 June to 16 June)</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(Late July)</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(Early August)</w:t>
      </w:r>
    </w:p>
    <w:p>
      <w:r>
        <w:t>Regenerated the architecture diagram and interface screenshots for the report, re-ran the full pytest suite (eleven tests passing throughout, no regressions from the Week 16 to 17 changes), and attempted a fresh TruLens evaluation against the final sample corpus so Section 4.3 would reflect the shipped documents rather than the earlier placeholder corpus used at TMA03 stage. The run was left going for over two hours on the local CPU-only hardware and hit repeated per-question timeouts; it was stopped before completion rather than left running indefinitely, and Section 4.3 records the TMA03-stage figures with an explicit note explaining why, rather than presenting them as if newly measured. What did not go well: a full three-chunk-size TruLens run proved considerably less predictable in wall-clock time on this hardware than the TMA03-stage run had been. Lesson: budget evaluation re-runs well ahead of a deadline, and treat CPU-only LLM-as-judge evaluation as a variable-duration task rather than a fixed one.</w:t>
      </w:r>
    </w:p>
    <w:p>
      <w:pPr>
        <w:pStyle w:val="Heading3"/>
      </w:pPr>
      <w:r>
        <w:t>Week 19 (Early August)</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w:t>
      </w:r>
    </w:p>
    <w:p>
      <w:pPr>
        <w:pStyle w:val="Heading3"/>
      </w:pPr>
      <w:r>
        <w:t>Week 20 (Mid August)</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w:t>
      </w:r>
    </w:p>
    <w:p>
      <w:pPr>
        <w:pStyle w:val="Heading3"/>
      </w:pPr>
      <w:r>
        <w:t>Week 21 (Mid August)</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w:t>
      </w:r>
    </w:p>
    <w:p>
      <w:pPr>
        <w:pStyle w:val="Heading3"/>
      </w:pPr>
      <w:r>
        <w:t>Week 22 (Mid August)</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w:t>
      </w:r>
    </w:p>
    <w:p>
      <w:pPr>
        <w:pStyle w:val="Heading3"/>
      </w:pPr>
      <w:r>
        <w:t>Week 23 (Late August)</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w:t>
      </w:r>
    </w:p>
    <w:p>
      <w:pPr>
        <w:pStyle w:val="Heading3"/>
      </w:pPr>
      <w:r>
        <w:t>Week 24 (Late August)</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w:t>
      </w:r>
    </w:p>
    <w:p>
      <w:pPr>
        <w:pStyle w:val="Heading3"/>
      </w:pPr>
      <w:r>
        <w:t>Week 25 (Late August)</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w:t>
      </w:r>
    </w:p>
    <w:p>
      <w:pPr>
        <w:pStyle w:val="Heading3"/>
      </w:pPr>
      <w:r>
        <w:t>Week 26 (Early September)</w:t>
      </w:r>
    </w:p>
    <w:p>
      <w:r>
        <w:t>Made multi-file ingestion tolerant of individual file failures: previously, one unsupported or corrupted file in an upload batch aborted ingestion entirely, discarding chunks already extracted from every other valid file in the same batch. A new ingestion helper now loads each file independently, catching and recording a filename-and-error-message pair for any that fail, so the rest of the batch is still ingested; the existing strict version used by the evaluation harness was left unchanged. The interface now reports which filenames could not be processed and why, alongside the existing chunk-count and replaced-document messaging. Four new unit tests were added covering the ingestion helper directly and the pipeline's ingest method with a mixed batch of one good and one unsupported file. Live testing in the browser found that Gradio's own upload widget already blocks disallowed extensions client-side before they reach the application, so the scenario was instead exercised with a permitted .txt extension containing invalid byte sequences alongside a valid file, confirming the valid file was still ingested and answerable while the corrupted one was named in the status message. What went well: designing the test for the ingestion helper before wiring it into the pipeline made the pipeline-level test straightforward, since only the mixed-batch scenario needed checking again at that layer.</w:t>
      </w:r>
    </w:p>
    <w:p>
      <w:pPr>
        <w:pStyle w:val="Heading3"/>
      </w:pPr>
      <w:r>
        <w:t>Week 27 (Early September)</w:t>
      </w:r>
    </w:p>
    <w:p>
      <w:r>
        <w:t>Designed and applied a bespoke visual theme to replace Gradio's default styling, giving the application a distinct, minimalist identity built on the theming API rather than replacement HTML, so every built-in control kept its normal behaviour. Two problems only appeared once the theme was actually run in the browser rather than merely read as code: passing plain strings for the font stack crashed the application on startup, because Gradio compares a custom theme's fonts against its built-in themes' Font objects when deciding whether the theme is custom, and a dark-mode colour preference on the test machine silently overrode every theme colour that had no explicit dark-mode counterpart set. Both were fixed and confirmed by reloading the running page and taking a screenshot after each change. A further, more subtle visual bug, a plain dark block appearing above the chat window, was traced by inspecting the running page's own computed styles directly in the browser rather than guessing from the theme code, which identified an unset border colour as the cause; the same technique was reused a moment later to fix an unstyled dark checkbox once the first fix revealed the pattern. The full unit test suite was re-run to confirm the purely visual changes had not affected any pipeline or ingestion behaviour, and every core user flow, uploading and removing documents, asking and regenerating an answer, saving and resuming a session, and switching model and answer-style settings, was re-exercised live in the browser against the themed interface. What went well: reproducing each visual bug in the running application and inspecting its computed styles directly, rather than reasoning about the theme purely from its source code, found the actual cause of two of the three visual bugs far faster than code review alone would have. Live review of the themed interface afterwards still showed one plain colour block, this time beneath the mismatched-height upload controls rather than caused by an unset theme variable, so the layout itself was rebuilt around a two-pane sidebar-and-conversation structure, each pane sized by its own stacked content rather than a shared row of differently sized controls. The unit test suite and every live user flow exercised earlier in the week were re-run once more after the rebuild. What went well: recognising that this final artefact was a layout problem rather than another missing colour variable, since it reappeared in a different place after the previous fixes, avoided repeating the same colour-variable investigation on a bug that colour variables could not actually fix. The same week, addressed the two remaining items from TMA03 tutor feedback that had not yet been actioned: a request for a UML-style diagram alongside the existing component-level architecture diagram, and the outstanding re-run of the TruLens evaluation against the final shipped corpus. A UML sequence diagram was produced, tracing a single question through the running system over time, from the user's request through embedding, FAISS retrieval, prompt assembly and generation, back to the rendered answer, as a companion to the existing component diagram rather than a replacement for it. The evaluation re-run itself is covered in the Week 18 entry above: it was attempted against the three shipped sample documents but did not complete in reasonable time on the available hardware, so Section 4.3 still reports the TMA03-stage figures with that limitation stated plainly rather than presenting them as newly measured. What went well: keeping the evaluation script itself unchanged from TMA03 meant the attempted re-run needed no code changes, only a live Ollama server with both models already pulled, confirming the evaluation harness itself was reusable against a different corpus even though the run could not be completed in time.</w:t>
      </w:r>
    </w:p>
    <w:p>
      <w:pPr>
        <w:pStyle w:val="Heading3"/>
      </w:pPr>
      <w:r>
        <w:t>Week 28 (Early September)</w:t>
      </w:r>
    </w:p>
    <w:p>
      <w:r>
        <w:t>Carried out a final pre-submission review of this report against the application's actual source code and against TMA03, checking each technical claim and the project log's own running test count against the live codebase rather than trusting earlier entries by recollection. This surfaced one real, if minor, test coverage gap: ConversationMemory's turn-trimming logic, dropping the oldest turn once max_turns or max_tokens is exceeded, was only exercised indirectly through the pipeline-level memory tests, not directly against the class itself. Added a dedicated test_memory.py covering turn accumulation, both trimming conditions, pop_last_turn on both a populated and an empty memory, transcript formatting, and clearing. Live testing the same day, deliberately trying a question with no answer in the loaded material, found a second, genuine issue: a correctly declined question still listed 'Source:' lines for the nearest chunks by distance, even though those chunks were not actually used to answer, misrepresenting a decline as a grounded answer. Fixed by adding an is_decline() check against the fixed decline phrasing the system prompt already mandates, and suppressing the citation block, though not the retrieved-excerpts panel, whenever it fires, confirmed live by asking an out-of-scope question and checking the reply no longer cited sources it had not used. Four further unit tests were added covering both the helper directly and its effect on query() and query_stream(). Separately, uploading an unrelated document (deliberately not the sample pack) showed the fixed 'Example questions' buttons still naming sample-pack specifics such as Akhenaten and the Council of Nicaea, inviting clicks that would just be declined. Fixed by hiding that panel whenever the loaded documents are not exactly the shipped sample pack, verified live the same way, with four more unit tests, bringing the suite to fifty-three tests, all passing. A related suggestion, to market the application for high-stakes, zero-error-tolerance domains such as law, was deliberately not acted on: no locally-run model can honestly make that guarantee, and doing so would contradict Section 5.3's own framing of citations and groundedness as mitigating rather than eliminating the risk of an unsupported answer. Instead, added an interface accordion setting out in plain terms what the tool is a good fit for and what it is not, consistent with the existing ethical position rather than overstating it. What went well: reviewing the report against the running code one final time, rather than treating it as finished once the main enhancement phase ended, caught a genuine gap that a read of the report text alone would not have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