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The generation model itself can be switched mid-session between whichever models are already pulled locally through Ollama.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2673573"/>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2673573"/>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2673573"/>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2673573"/>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3"/>
      </w:pPr>
      <w:r>
        <w:t>Generation Model Selection</w:t>
      </w:r>
    </w:p>
    <w:p>
      <w:r>
        <w:t>The generation model was previously fixed at startup by the LLM_MODEL environment variable, requiring the .env file to be edited and the application restarted to try a different locally pulled model. An 'Advanced settings' dropdown now lists every model currently pulled in the local Ollama server, read from its /api/tags endpoint, and lets a user switch the generation model mid-session without restarting the application. The configured embedding model is deliberately excluded from this list, since it is not a chat model and was never intended to generate answers, only to build the FAISS index; switching it would in any case require re-embedding every loaded document, which this control does not attempt.</w:t>
      </w:r>
    </w:p>
    <w:p>
      <w:r>
        <w:t>A model chosen before any document has been loaded, when no pipeline object yet exists to hold it, is remembered on the shared configuration so that the pipeline created on the first upload or sample-load picks it up; a model chosen after documents are already loaded instead replaces the generation client on the existing pipeline directly. Two new unit tests cover both cases. This gives a user a direct way to compare how different locally available models summarise the same retrieved passages, without leaving the interface or touching configuration files.</w:t>
      </w:r>
    </w:p>
    <w:p>
      <w:pPr>
        <w:pStyle w:val="Heading3"/>
      </w:pPr>
      <w:r>
        <w:t>Duplicate Document Replacement</w:t>
      </w:r>
    </w:p>
    <w:p>
      <w:r>
        <w:t>Re-ingesting a file with the same name as one already loaded, for example after correcting a typo or updating a study document, previously added a second, duplicate set of chunks under that filename rather than replacing the first, so both the outdated and the corrected wording could be retrieved and cited side by side. Ingest now removes any chunks already tracked under an incoming filename before adding the new ones, so the newer upload takes over cleanly. The same check is applied within a single ingest call, because Gradio's file upload widget resends every file it has ever held rather than only the newest one, so dropping a corrected file in without first removing the old entry would otherwise send both the stale and the corrected copy in the same batch; only the last path for a given filename in that batch is kept.</w:t>
      </w:r>
    </w:p>
    <w:p>
      <w:r>
        <w:t>The interface now also reports when a document has been replaced this way, rather than only reporting a chunk count that gives no indication anything was swapped out. Three new unit tests cover replacement across separate ingest calls, replacement within a single call, and the ordinary case of a genuinely new filename reporting no replacement. This was confirmed live in the browser by uploading a short file, then uploading a second version of it with different wording, and checking that the assistant's answer reflected only the newer wording and its single citation, with the index status message confirming which filename had been replaced.</w:t>
      </w:r>
    </w:p>
    <w:p>
      <w:pPr>
        <w:pStyle w:val="Heading3"/>
      </w:pPr>
      <w:r>
        <w:t>Answer Style</w:t>
      </w:r>
    </w:p>
    <w:p>
      <w:r>
        <w:t>The system prompt's third rule, previously a fixed instruction to be concise, is now one of two interchangeable instructions selected by a new 'Answer style' control in Advanced settings: concise, the existing default, or detailed, which asks the model to cover relevant background and reasoning across multiple sentences or paragraphs rather than a single short line. Both variants keep the same grounding and citation rules unchanged; only the length and depth of the answer itself is affected. This gives a user a way to ask for a fuller explanation when studying a topic in depth, without having to rephrase the question itself to request more detail.</w:t>
      </w:r>
    </w:p>
    <w:p>
      <w:r>
        <w:t>The choice is stored on the same shared settings object used for the generation model and chunk count, following the same pattern established for the model selector: a choice made before any document is loaded is remembered on the shared settings for the pipeline created afterwards, and a choice made once a pipeline exists updates it directly. Two new unit tests confirm the prompt sent to the model contains the expected instruction for each style, and two further interface-level tests cover both branches of the setting-versus-pipeline logic, mirroring the tests written for the model selector. This was confirmed live in the browser by switching to the detailed style, loading the sample documents, and comparing the resulting answer's length and structure against an equivalent concise answer asked earlier in the session.</w:t>
      </w:r>
    </w:p>
    <w:p>
      <w:pPr>
        <w:pStyle w:val="Heading3"/>
      </w:pPr>
      <w:r>
        <w:t>Tolerant Multi-File Ingestion</w:t>
      </w:r>
    </w:p>
    <w:p>
      <w:r>
        <w:t>Ingesting a batch of files previously aborted the whole upload the moment any single file failed to load, whether an unsupported type or a document that was simply corrupted, discarding chunks already extracted from every other, perfectly valid file in the same batch. A new filename-and-error-message pair is now recorded for each file that fails, and loading continues with whatever remains, so one bad file no longer costs a user their entire upload. The interface reports which filenames could not be processed and why, alongside the existing chunk count and replaced-document notes.</w:t>
      </w:r>
    </w:p>
    <w:p>
      <w:r>
        <w:t>Two new ingestion-level unit tests confirm a batch with one unsupported file still returns the successfully loaded document while reporting the failure, and that a fully successful batch reports no failures at all; a further pipeline-level test confirms the same behaviour once chunking and indexing are involved. Live testing in the browser found that Gradio's own upload widget already rejects disallowed extensions before they reach the application, so this path is chiefly exercised by a file with a permitted extension that is otherwise unreadable; this was confirmed by uploading a .txt file containing invalid byte sequences alongside a valid one, and checking that the valid file was still ingested and answerable while the corrupted one was named in the status message.</w:t>
      </w:r>
    </w:p>
    <w:p>
      <w:pPr>
        <w:pStyle w:val="Heading3"/>
      </w:pPr>
      <w:r>
        <w:t>Bespoke Interface Theme</w:t>
      </w:r>
    </w:p>
    <w:p>
      <w:r>
        <w:t>The interface originally used Gradio's default styling, which is functional but generic and gives no visual identity to the application. A bespoke theme was designed and applied instead, built on Gradio's theming API rather than custom HTML, so that every built-in component, buttons, sliders, checkboxes, accordions, still behaves and responds exactly as Gradio intends while presenting a warm, parchment-toned colour palette (a cream background, a deep teal accent colour for primary actions and links, and a muted amber border colour) together with a serif heading font for the title and a system sans-serif font for body text. A short gradient header banner introduces the application by name, states in a single line what it does, and carries a badge reading 'Runs entirely offline; nothing leaves this machine', restating the project's offline-first principle directly in the interface rather than leaving it only in the documentation. The upload, settings and conversation controls are each wrapped in a visually distinct card-like group so the page reads as a small number of clear sections rather than one undifferentiated column of controls, which was judged more in keeping with a minimalist, uncluttered design than adding further visual decoration would have been.</w:t>
      </w:r>
    </w:p>
    <w:p>
      <w:r>
        <w:t>Because every font referenced by the theme had to resolve locally rather than fetch a webfont from a remote CDN, consistent with the project's offline-only requirement (Section 5), the theme is built entirely from system font stacks (Segoe UI, Georgia and their generic fallbacks) rather than Gradio's optional Google Fonts integration. Building the theme surfaced two problems that would not have been visible from reading the theming API documentation alone: passing plain strings instead of Gradio's Font wrapper objects for the font stack caused a crash on startup when Gradio internally compared the custom theme against its built-in themes, and leaving the theme's dark-mode colour variants unset let a visitor's operating system colour preference silently override the intended palette with Gradio's default dark colours wherever a dark-mode counterpart had not been explicitly given. Both were fixed, the first by wrapping every font name in a Font object, the second by setting every dark-mode variable to the same value as its light counterpart so the theme renders identically regardless of the viewer's system preference, and the fix for each was confirmed by reloading the running application in the browser and taking a fresh screenshot. A third, more subtle issue was traced the same way: an unset border colour used internally to fill the empty space between grouped controls was resolving to a near-black default, producing a plain-looking dark block above the chat window and to the side of the document controls; the running page's own computed styles were inspected directly in the browser to identify which theme variable was responsible, and setting it to match the rest of the palette resolved it. The full test suite was re-run after these changes to confirm the styling work had not affected any pipeline or ingestion behaviour, and the core user flows, uploading and removing documents, asking and regenerating a question, saving and resuming a session, and switching model and answer-style settings, were each exercised again in a live browser session against the themed interface to check that nothing had regressed visually or functionally.</w:t>
      </w:r>
    </w:p>
    <w:p>
      <w:r>
        <w:t>A first pass at the layout stacked every control, upload widget, session buttons and index status, in a single row inside one grouped card. Because these three controls are naturally very different heights, the shared card's background filled the unused space beneath the shorter ones, producing a plain, unexplained block of colour that looked like an unfinished section rather than a deliberate design choice once seen in the browser rather than in the component code. The layout was rebuilt around a two-pane structure instead: a narrower sidebar column holding every document, session and settings control stacked vertically, beside a wider column dedicated entirely to the conversation. Because each pane's height is now set by its own stacked content rather than by the tallest control in a shared row, the mismatched-height gap cannot recur, and the sidebar's tinted background reads as an intentional panel rather than a stray artefact. This is a common structure in comparable chat applications, and was chosen over further decoration because it separates configuration from conversation without adding visual noise, in keeping with the project's minimalist design goal. The full test suite and the same set of live user flows listed above were re-run once more after the rebuild to confirm the restructuring was purely visual.</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p>
      <w:pPr>
        <w:pStyle w:val="Heading3"/>
      </w:pPr>
      <w:r>
        <w:t>Week 21 ([DATES])</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 [STUDENT TO CONFIRM: complete this entry with the exact date range once finalised.]</w:t>
      </w:r>
    </w:p>
    <w:p>
      <w:pPr>
        <w:pStyle w:val="Heading3"/>
      </w:pPr>
      <w:r>
        <w:t>Week 22 ([DATES])</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 [STUDENT TO CONFIRM: complete this entry with the exact date range once finalised.]</w:t>
      </w:r>
    </w:p>
    <w:p>
      <w:pPr>
        <w:pStyle w:val="Heading3"/>
      </w:pPr>
      <w:r>
        <w:t>Week 23 ([DATES])</w:t>
      </w:r>
    </w:p>
    <w:p>
      <w:r>
        <w:t>Added a generation model selector, reading the list of models currently pulled in the local Ollama server from its /api/tags endpoint and populating an 'Advanced settings' dropdown with it on every page load, matching the existing pattern used for the connectivity banner. The configured embedding model is filtered out of this list, since it is not a chat model. Selecting a model rebuilds the pipeline's generation client without affecting the embedding client or the FAISS index. Found and fixed a bug during live testing: a model chosen before any document was loaded had no visible effect, because no pipeline object yet existed to hold the choice and a newly created pipeline always read the original default model from configuration. Fixed by remembering the choice on the shared configuration object when no pipeline yet exists, so the pipeline created on the first upload or sample-load reads the chosen model instead of the original default. Two new unit tests cover both the case where a pipeline already exists and the case where it does not. What went well: this is the second bug in this enhancement phase, after the chat message formatting issue in Week 21, that only surfaced under live browser testing rather than the unit test suite, reinforcing the value of testing the actual running application rather than relying on automated tests alone. [STUDENT TO CONFIRM: complete this entry with the exact date range once finalised.]</w:t>
      </w:r>
    </w:p>
    <w:p>
      <w:pPr>
        <w:pStyle w:val="Heading3"/>
      </w:pPr>
      <w:r>
        <w:t>Week 24 ([DATES])</w:t>
      </w:r>
    </w:p>
    <w:p>
      <w:r>
        <w:t>Fixed a duplicate-chunk bug found by re-reading the ingestion code rather than through live testing: uploading a document with the same filename as one already loaded added a second copy of its chunks to the index instead of replacing the first, so an outdated and a corrected version of the same document could both be retrieved and cited. Ingest now discards any chunks already tracked under an incoming filename before adding the replacement, and the interface reports which filenames were replaced. While testing this live, found a second, related issue: Gradio's upload widget resends every file it has ever held on each new upload, not only the newest one, so dropping a corrected file in without first removing the old entry sent both copies in a single ingest call; fixed by keeping only the last path for a given filename within one call. Three new unit tests were added, and the fix was confirmed live in the browser by uploading a short file, then uploading a differently worded second version under the same name, and checking the assistant's answer and citation reflected only the newer wording. What went well: writing a test for the exact scenario just fixed, before moving on, caught that the first fix alone was incomplete once the within-call case was considered, which a purely mental review of the diff had missed. [STUDENT TO CONFIRM: complete this entry with the exact date range once finalised.]</w:t>
      </w:r>
    </w:p>
    <w:p>
      <w:pPr>
        <w:pStyle w:val="Heading3"/>
      </w:pPr>
      <w:r>
        <w:t>Week 25 ([DATES])</w:t>
      </w:r>
    </w:p>
    <w:p>
      <w:r>
        <w:t>Added an answer-style control, letting a user choose between the existing concise instruction and a new detailed instruction in the system prompt's third rule, without changing anything else about grounding or citation behaviour. The choice is stored on the same shared settings object used for the generation model and chunk count, following the pattern already established for the model selector, including the same before-any-pipeline and after-a-pipeline-exists cases. The evaluation harness was updated to pass the default concise instruction explicitly, since the prompt template gained a new placeholder that its own call site had to satisfy. Four new unit tests were added: two confirming the prompt sent to the model contains the correct instruction for each style, and two covering the interface-level setting-versus-pipeline logic. Confirmed live in the browser by switching to the detailed style, loading the sample documents, and comparing the length and structure of the resulting answer against an earlier concise answer in the same session. What went well: reusing the existing model-selector pattern for where a setting is stored meant no new state-handling logic had to be designed from scratch, only a new setting name and a new UI control needed to be added. [STUDENT TO CONFIRM: complete this entry with the exact date range once finalised.]</w:t>
      </w:r>
    </w:p>
    <w:p>
      <w:pPr>
        <w:pStyle w:val="Heading3"/>
      </w:pPr>
      <w:r>
        <w:t>Week 26 ([DATES])</w:t>
      </w:r>
    </w:p>
    <w:p>
      <w:r>
        <w:t>Made multi-file ingestion tolerant of individual file failures: previously, one unsupported or corrupted file in an upload batch aborted ingestion entirely, discarding chunks already extracted from every other valid file in the same batch. A new ingestion helper now loads each file independently, catching and recording a filename-and-error-message pair for any that fail, so the rest of the batch is still ingested; the existing strict version used by the evaluation harness was left unchanged. The interface now reports which filenames could not be processed and why, alongside the existing chunk-count and replaced-document messaging. Four new unit tests were added covering the ingestion helper directly and the pipeline's ingest method with a mixed batch of one good and one unsupported file. Live testing in the browser found that Gradio's own upload widget already blocks disallowed extensions client-side before they reach the application, so the scenario was instead exercised with a permitted .txt extension containing invalid byte sequences alongside a valid file, confirming the valid file was still ingested and answerable while the corrupted one was named in the status message. What went well: designing the test for the ingestion helper before wiring it into the pipeline made the pipeline-level test straightforward, since only the mixed-batch scenario needed checking again at that layer. [STUDENT TO CONFIRM: complete this entry with the exact date range once finalised.]</w:t>
      </w:r>
    </w:p>
    <w:p>
      <w:pPr>
        <w:pStyle w:val="Heading3"/>
      </w:pPr>
      <w:r>
        <w:t>Week 27 ([DATES])</w:t>
      </w:r>
    </w:p>
    <w:p>
      <w:r>
        <w:t>Designed and applied a bespoke visual theme to replace Gradio's default styling, giving the application a distinct, minimalist identity built on the theming API rather than replacement HTML, so every built-in control kept its normal behaviour. Two problems only appeared once the theme was actually run in the browser rather than merely read as code: passing plain strings for the font stack crashed the application on startup, because Gradio compares a custom theme's fonts against its built-in themes' Font objects when deciding whether the theme is custom, and a dark-mode colour preference on the test machine silently overrode every theme colour that had no explicit dark-mode counterpart set. Both were fixed and confirmed by reloading the running page and taking a screenshot after each change. A further, more subtle visual bug, a plain dark block appearing above the chat window, was traced by inspecting the running page's own computed styles directly in the browser rather than guessing from the theme code, which identified an unset border colour as the cause; the same technique was reused a moment later to fix an unstyled dark checkbox once the first fix revealed the pattern. The full unit test suite was re-run to confirm the purely visual changes had not affected any pipeline or ingestion behaviour, and every core user flow, uploading and removing documents, asking and regenerating an answer, saving and resuming a session, and switching model and answer-style settings, was re-exercised live in the browser against the themed interface. What went well: reproducing each visual bug in the running application and inspecting its computed styles directly, rather than reasoning about the theme purely from its source code, found the actual cause of two of the three visual bugs far faster than code review alone would have. Live review of the themed interface afterwards still showed one plain colour block, this time beneath the mismatched-height upload controls rather than caused by an unset theme variable, so the layout itself was rebuilt around a two-pane sidebar-and-conversation structure, each pane sized by its own stacked content rather than a shared row of differently sized controls. The unit test suite and every live user flow exercised earlier in the week were re-run once more after the rebuild. What went well: recognising that this final artefact was a layout problem rather than another missing colour variable, since it reappeared in a different place after the previous fixes, avoided repeating the same colour-variable investigation on a bug that colour variables could not actually fix.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