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Jegou,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and any answer can be regenerated in place without retyping the question.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Jegou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tcPr>
          <w:p>
            <w:r>
              <w:rPr>
                <w:b/>
              </w:rPr>
              <w:t>Phase</w:t>
            </w:r>
          </w:p>
        </w:tc>
        <w:tc>
          <w:tcPr>
            <w:tcW w:type="dxa" w:w="1152"/>
          </w:tcPr>
          <w:p>
            <w:r>
              <w:rPr>
                <w:b/>
              </w:rPr>
              <w:t>Weeks</w:t>
            </w:r>
          </w:p>
        </w:tc>
        <w:tc>
          <w:tcPr>
            <w:tcW w:type="dxa" w:w="6048"/>
          </w:tcPr>
          <w:p>
            <w:r>
              <w:rPr>
                <w:b/>
              </w:rPr>
              <w:t>Activity</w:t>
            </w:r>
          </w:p>
        </w:tc>
        <w:tc>
          <w:tcPr>
            <w:tcW w:type="dxa" w:w="1728"/>
          </w:tcPr>
          <w:p>
            <w:r>
              <w:rPr>
                <w:b/>
              </w:rPr>
              <w:t>Status</w:t>
            </w:r>
          </w:p>
        </w:tc>
      </w:tr>
      <w:tr>
        <w:tc>
          <w:tcPr>
            <w:tcW w:type="dxa" w:w="720"/>
          </w:tcPr>
          <w:p>
            <w:r>
              <w:t>1</w:t>
            </w:r>
          </w:p>
        </w:tc>
        <w:tc>
          <w:tcPr>
            <w:tcW w:type="dxa" w:w="1152"/>
          </w:tcPr>
          <w:p>
            <w:r>
              <w:t>1 to 2</w:t>
            </w:r>
          </w:p>
        </w:tc>
        <w:tc>
          <w:tcPr>
            <w:tcW w:type="dxa" w:w="6048"/>
          </w:tcPr>
          <w:p>
            <w:r>
              <w:t>Background reading and environment setup</w:t>
            </w:r>
          </w:p>
        </w:tc>
        <w:tc>
          <w:tcPr>
            <w:tcW w:type="dxa" w:w="1728"/>
          </w:tcPr>
          <w:p>
            <w:r>
              <w:t>Complete</w:t>
            </w:r>
          </w:p>
        </w:tc>
      </w:tr>
      <w:tr>
        <w:tc>
          <w:tcPr>
            <w:tcW w:type="dxa" w:w="720"/>
          </w:tcPr>
          <w:p>
            <w:r>
              <w:t>2</w:t>
            </w:r>
          </w:p>
        </w:tc>
        <w:tc>
          <w:tcPr>
            <w:tcW w:type="dxa" w:w="1152"/>
          </w:tcPr>
          <w:p>
            <w:r>
              <w:t>3 to 4</w:t>
            </w:r>
          </w:p>
        </w:tc>
        <w:tc>
          <w:tcPr>
            <w:tcW w:type="dxa" w:w="6048"/>
          </w:tcPr>
          <w:p>
            <w:r>
              <w:t>LangChain tutorials and FAISS exploration</w:t>
            </w:r>
          </w:p>
        </w:tc>
        <w:tc>
          <w:tcPr>
            <w:tcW w:type="dxa" w:w="1728"/>
          </w:tcPr>
          <w:p>
            <w:r>
              <w:t>Complete</w:t>
            </w:r>
          </w:p>
        </w:tc>
      </w:tr>
      <w:tr>
        <w:tc>
          <w:tcPr>
            <w:tcW w:type="dxa" w:w="720"/>
          </w:tcPr>
          <w:p>
            <w:r>
              <w:t>3</w:t>
            </w:r>
          </w:p>
        </w:tc>
        <w:tc>
          <w:tcPr>
            <w:tcW w:type="dxa" w:w="1152"/>
          </w:tcPr>
          <w:p>
            <w:r>
              <w:t>5</w:t>
            </w:r>
          </w:p>
        </w:tc>
        <w:tc>
          <w:tcPr>
            <w:tcW w:type="dxa" w:w="6048"/>
          </w:tcPr>
          <w:p>
            <w:r>
              <w:t>Minimal end-to-end pipeline implementation</w:t>
            </w:r>
          </w:p>
        </w:tc>
        <w:tc>
          <w:tcPr>
            <w:tcW w:type="dxa" w:w="1728"/>
          </w:tcPr>
          <w:p>
            <w:r>
              <w:t>Complete</w:t>
            </w:r>
          </w:p>
        </w:tc>
      </w:tr>
      <w:tr>
        <w:tc>
          <w:tcPr>
            <w:tcW w:type="dxa" w:w="720"/>
          </w:tcPr>
          <w:p>
            <w:r>
              <w:t>4</w:t>
            </w:r>
          </w:p>
        </w:tc>
        <w:tc>
          <w:tcPr>
            <w:tcW w:type="dxa" w:w="1152"/>
          </w:tcPr>
          <w:p>
            <w:r>
              <w:t>6</w:t>
            </w:r>
          </w:p>
        </w:tc>
        <w:tc>
          <w:tcPr>
            <w:tcW w:type="dxa" w:w="6048"/>
          </w:tcPr>
          <w:p>
            <w:r>
              <w:t>Chunking and embedding experimentation</w:t>
            </w:r>
          </w:p>
        </w:tc>
        <w:tc>
          <w:tcPr>
            <w:tcW w:type="dxa" w:w="1728"/>
          </w:tcPr>
          <w:p>
            <w:r>
              <w:t>Complete</w:t>
            </w:r>
          </w:p>
        </w:tc>
      </w:tr>
      <w:tr>
        <w:tc>
          <w:tcPr>
            <w:tcW w:type="dxa" w:w="720"/>
          </w:tcPr>
          <w:p>
            <w:r>
              <w:t>5</w:t>
            </w:r>
          </w:p>
        </w:tc>
        <w:tc>
          <w:tcPr>
            <w:tcW w:type="dxa" w:w="1152"/>
          </w:tcPr>
          <w:p>
            <w:r>
              <w:t>7 to 8</w:t>
            </w:r>
          </w:p>
        </w:tc>
        <w:tc>
          <w:tcPr>
            <w:tcW w:type="dxa" w:w="6048"/>
          </w:tcPr>
          <w:p>
            <w:r>
              <w:t>Code documentation and TMA02 write-up</w:t>
            </w:r>
          </w:p>
        </w:tc>
        <w:tc>
          <w:tcPr>
            <w:tcW w:type="dxa" w:w="1728"/>
          </w:tcPr>
          <w:p>
            <w:r>
              <w:t>Complete</w:t>
            </w:r>
          </w:p>
        </w:tc>
      </w:tr>
      <w:tr>
        <w:tc>
          <w:tcPr>
            <w:tcW w:type="dxa" w:w="720"/>
          </w:tcPr>
          <w:p>
            <w:r>
              <w:t>6</w:t>
            </w:r>
          </w:p>
        </w:tc>
        <w:tc>
          <w:tcPr>
            <w:tcW w:type="dxa" w:w="1152"/>
          </w:tcPr>
          <w:p>
            <w:r>
              <w:t>9</w:t>
            </w:r>
          </w:p>
        </w:tc>
        <w:tc>
          <w:tcPr>
            <w:tcW w:type="dxa" w:w="6048"/>
          </w:tcPr>
          <w:p>
            <w:r>
              <w:t>TMA02 finalisation and submission</w:t>
            </w:r>
          </w:p>
        </w:tc>
        <w:tc>
          <w:tcPr>
            <w:tcW w:type="dxa" w:w="1728"/>
          </w:tcPr>
          <w:p>
            <w:r>
              <w:t>Complete</w:t>
            </w:r>
          </w:p>
        </w:tc>
      </w:tr>
      <w:tr>
        <w:tc>
          <w:tcPr>
            <w:tcW w:type="dxa" w:w="720"/>
          </w:tcPr>
          <w:p>
            <w:r>
              <w:t>7</w:t>
            </w:r>
          </w:p>
        </w:tc>
        <w:tc>
          <w:tcPr>
            <w:tcW w:type="dxa" w:w="1152"/>
          </w:tcPr>
          <w:p>
            <w:r>
              <w:t>10 to 11</w:t>
            </w:r>
          </w:p>
        </w:tc>
        <w:tc>
          <w:tcPr>
            <w:tcW w:type="dxa" w:w="6048"/>
          </w:tcPr>
          <w:p>
            <w:r>
              <w:t>Gradio UI development, conversation memory, .docx support</w:t>
            </w:r>
          </w:p>
        </w:tc>
        <w:tc>
          <w:tcPr>
            <w:tcW w:type="dxa" w:w="1728"/>
          </w:tcPr>
          <w:p>
            <w:r>
              <w:t>Complete</w:t>
            </w:r>
          </w:p>
        </w:tc>
      </w:tr>
      <w:tr>
        <w:tc>
          <w:tcPr>
            <w:tcW w:type="dxa" w:w="720"/>
          </w:tcPr>
          <w:p>
            <w:r>
              <w:t>8</w:t>
            </w:r>
          </w:p>
        </w:tc>
        <w:tc>
          <w:tcPr>
            <w:tcW w:type="dxa" w:w="1152"/>
          </w:tcPr>
          <w:p>
            <w:r>
              <w:t>12 to 13</w:t>
            </w:r>
          </w:p>
        </w:tc>
        <w:tc>
          <w:tcPr>
            <w:tcW w:type="dxa" w:w="6048"/>
          </w:tcPr>
          <w:p>
            <w:r>
              <w:t>TruLens evaluation harness and chunk size comparison</w:t>
            </w:r>
          </w:p>
        </w:tc>
        <w:tc>
          <w:tcPr>
            <w:tcW w:type="dxa" w:w="1728"/>
          </w:tcPr>
          <w:p>
            <w:r>
              <w:t>Complete</w:t>
            </w:r>
          </w:p>
        </w:tc>
      </w:tr>
      <w:tr>
        <w:tc>
          <w:tcPr>
            <w:tcW w:type="dxa" w:w="720"/>
          </w:tcPr>
          <w:p>
            <w:r>
              <w:t>9</w:t>
            </w:r>
          </w:p>
        </w:tc>
        <w:tc>
          <w:tcPr>
            <w:tcW w:type="dxa" w:w="1152"/>
          </w:tcPr>
          <w:p>
            <w:r>
              <w:t>14 to 15</w:t>
            </w:r>
          </w:p>
        </w:tc>
        <w:tc>
          <w:tcPr>
            <w:tcW w:type="dxa" w:w="6048"/>
          </w:tcPr>
          <w:p>
            <w:r>
              <w:t>Evaluation analysis and TMA03 write-up</w:t>
            </w:r>
          </w:p>
        </w:tc>
        <w:tc>
          <w:tcPr>
            <w:tcW w:type="dxa" w:w="1728"/>
          </w:tcPr>
          <w:p>
            <w:r>
              <w:t>Complete</w:t>
            </w:r>
          </w:p>
        </w:tc>
      </w:tr>
      <w:tr>
        <w:tc>
          <w:tcPr>
            <w:tcW w:type="dxa" w:w="720"/>
          </w:tcPr>
          <w:p>
            <w:r>
              <w:t>10</w:t>
            </w:r>
          </w:p>
        </w:tc>
        <w:tc>
          <w:tcPr>
            <w:tcW w:type="dxa" w:w="1152"/>
          </w:tcPr>
          <w:p>
            <w:r>
              <w:t>16 to 17</w:t>
            </w:r>
          </w:p>
        </w:tc>
        <w:tc>
          <w:tcPr>
            <w:tcW w:type="dxa" w:w="6048"/>
          </w:tcPr>
          <w:p>
            <w:r>
              <w:t>Response to TMA03 feedback: risk mitigation detail, schedule and evaluation presented as tables, architecture diagram and interface screenshots, sample corpus sourcing</w:t>
            </w:r>
          </w:p>
        </w:tc>
        <w:tc>
          <w:tcPr>
            <w:tcW w:type="dxa" w:w="1728"/>
          </w:tcPr>
          <w:p>
            <w:r>
              <w:t>Complete</w:t>
            </w:r>
          </w:p>
        </w:tc>
      </w:tr>
      <w:tr>
        <w:tc>
          <w:tcPr>
            <w:tcW w:type="dxa" w:w="720"/>
          </w:tcPr>
          <w:p>
            <w:r>
              <w:t>11</w:t>
            </w:r>
          </w:p>
        </w:tc>
        <w:tc>
          <w:tcPr>
            <w:tcW w:type="dxa" w:w="1152"/>
          </w:tcPr>
          <w:p>
            <w:r>
              <w:t>18</w:t>
            </w:r>
          </w:p>
        </w:tc>
        <w:tc>
          <w:tcPr>
            <w:tcW w:type="dxa" w:w="6048"/>
          </w:tcPr>
          <w:p>
            <w:r>
              <w:t>Full evaluation re-run against final shipped corpus; EMA write-up and submission</w:t>
            </w:r>
          </w:p>
        </w:tc>
        <w:tc>
          <w:tcPr>
            <w:tcW w:type="dxa" w:w="1728"/>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Jegou,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vector for each chunk. The FAISS index is built and saved to disk.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The response includes the answer and a citation identifying the source document.</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a short accordion explaining why some questions are declined.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7781249"/>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7781249"/>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7781249"/>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7781249"/>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3"/>
      </w:pPr>
      <w:r>
        <w:t>Answer Regeneration</w:t>
      </w:r>
    </w:p>
    <w:p>
      <w:r>
        <w:t>An Ollama model can return a different answer to the same question on separate runs, since generation is not deterministic even at a low temperature setting, and a retrieved passage is occasionally phrased in a way the model summarises poorly on a first attempt. A 'Regenerate answer' action re-asks the most recent question without requiring it to be retyped, discarding the previous answer and its excerpts panel and streaming a fresh one in their place. The corresponding turn is first removed from conversation memory before the question is re-asked, so the stale answer is not still present in the history used to build the next prompt and the regenerated turn is recorded exactly once.</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[STUDENT TO CONFIRM: the figures below are carried forward from the TMA03 evaluation, which was run against an earlier placeholder corpus of a lecture notes set, a textbook chapter and a personal summary, not the history-of-religion corpus shipped with the final application. A fresh run against the final corpus was started but had not completed by the time this report was generated; re-run evaluation.run_evaluation and regenerate this report before final submission so this table reflects the shipped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pending re-run against final corpus).</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[STUDENT TO CONFIRM: add a short closing paragraph in your own words reflecting on the project as a whole now that it is complete, since this is the one part of the report that should be written in a genuinely first-person, personal register rather than assembled from prior report text.]</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Jegou,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Kuttler, H., Lewis, M., Yih, W., Rocktaschel,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([DATES])</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([DATES])</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([DATES])</w:t>
      </w:r>
    </w:p>
    <w:p>
      <w:r>
        <w:t>Implemented a minimal end-to-end pipeline: load, split, embed, index, retrieve, generate. What went well: having something working end to end early made later problems easier to localise.</w:t>
      </w:r>
    </w:p>
    <w:p>
      <w:pPr>
        <w:pStyle w:val="Heading3"/>
      </w:pPr>
      <w:r>
        <w:t>Week 6 ([DATES])</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([DATES])</w:t>
      </w:r>
    </w:p>
    <w:p>
      <w:r>
        <w:t>Documented the code, wrote and submitted TMA02.</w:t>
      </w:r>
    </w:p>
    <w:p>
      <w:pPr>
        <w:pStyle w:val="Heading3"/>
      </w:pPr>
      <w:r>
        <w:t>Week 10 ([DATES])</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([DATES])</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([DATES])</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([DATES])</w:t>
      </w:r>
    </w:p>
    <w:p>
      <w:r>
        <w:t>Reviewed the TruLens results and noted the circularity concern of using the same model as both judge and generator (Section 4.3). Drafted the project work section of TMA03.</w:t>
      </w:r>
    </w:p>
    <w:p>
      <w:pPr>
        <w:pStyle w:val="Heading3"/>
      </w:pPr>
      <w:r>
        <w:t>Week 14 to 15 ([DATES])</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([DATES])</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([DATES])</w:t>
      </w:r>
    </w:p>
    <w:p>
      <w:r>
        <w:t>Regenerated the architecture diagram and interface screenshots for the report, re-ran the full pytest suite (nine tests passing throughout, no regressions from the Week 16 to 17 changes), and started a fresh TruLens evaluation run against the final sample corpus so Section 4.3 reflects the shipped documents rather than the earlier placeholder corpus. [STUDENT TO CONFIRM: complete this entry once the evaluation run finishes and the report has been regenerated with the final figures.]</w:t>
      </w:r>
    </w:p>
    <w:p>
      <w:pPr>
        <w:pStyle w:val="Heading3"/>
      </w:pPr>
      <w:r>
        <w:t>Week 19 ([DATES])</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 [STUDENT TO CONFIRM: complete this entry with the exact date range once finalised.]</w:t>
      </w:r>
    </w:p>
    <w:p>
      <w:pPr>
        <w:pStyle w:val="Heading3"/>
      </w:pPr>
      <w:r>
        <w:t>Week 20 ([DATES])</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 [STUDENT TO CONFIRM: complete this entry with the exact date range once finalised.]</w:t>
      </w:r>
    </w:p>
    <w:p>
      <w:pPr>
        <w:pStyle w:val="Heading3"/>
      </w:pPr>
      <w:r>
        <w:t>Week 21 ([DATES])</w:t>
      </w:r>
    </w:p>
    <w:p>
      <w:r>
        <w:t>Added a third quality-of-life feature: a 'Regenerate answer' action that re-asks the most recent question in place, for cases where a non-deterministic generation run produces a poorly phrased summary of an otherwise correctly retrieved passage. The action locates the last user turn in the chat history, discards the stale answer and excerpts panel, removes the matching turn from conversation memory so it is not duplicated, and streams a fresh answer using the same retrieval and generation path as an ordinary question. Encountered and fixed a bug during live testing: the chat history component occasionally returns message content as a list of structured text parts rather than a plain string, which raised a validation error when passed straight to the embedding call; a small helper was added to normalise both forms before re-asking the question. A new unit test was added confirming that regenerating an answer replaces the previous memory turn rather than appending to it, and the fix was confirmed live in the browser by asking a question, regenerating it, and checking the conversation still held exactly one exchange. What went well: testing directly against the running application, rather than only the unit test fakes, caught a real formatting inconsistency in the chat component that the test suite alone would not have exercised. [STUDENT TO CONFIRM: complete this entry with the exact date range once finalised.]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