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en lo general el desarrollo de videojuegos sigue siendo una pasión para mí y lo ha sido desde el inicio de la carrera, ahora que lo puedo afrontar con más experiencia, me siento más encantado con hacer cosas en ese ámbito.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Principalmente me entrego mas herramientas para futuros proyectos, esta área de la ingeniería se basa mucho en estar constantemente creando herramientas mentales que facilite e inspire futuros proyectos y creo que el desarrollo de este me ayudo bastante en crear esas herramientas.</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mis debilidades, pero creo que mis fortalezas definitivamente han aumentado, el hacer proyectos de este carácter ya era mi fortaleza, pero trabajar para un cliente en algo que amo, me ha entregado ganas de mejorar aún más para llegar al punto en el que estoy.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Principalmente seguir con proyectos de esta índole e unirlos no solo en herramientas lúdicas sino que implementar este tipo de lógicas en herramientas útiles en otras áreas.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Supongo que continuar trabajando en las cosas que no controlo, en este caso si hay algo que yo desearía mejorar es el desarrollo multijugador de herramientas para proyectos de este tipo, pero también el aprendizaje de herramientas como docker para desarrollo web.</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Creo que ahora mismo me siento más seguro con la idea de trabajar en el ámbito de los videojuegos quizá de forma independiente, por lo que definitivamente ha habido un cambio.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 veo con mi propio estudio de desarrollo de videojuegos, haciendo proyectos amplios en historia y jugabilidad.</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general todo es positivo, no he presentado ningún problema en el desarrollo de la asignatura y ha sido una grata experiencia junto a mi compañera.</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Quizá mejorar en contextos sociales, aun me siento poco comunicativo al trabajar con otros, pero es algo en lo que aun me esfuerzo en mejorar.</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m9tqSjpgizXJsVVBKgDBvMta1Q==">CgMxLjAyCGguZ2pkZ3hzOAByITE4b1AyU1dwckFBc2E5WHU0UWhSeEdjN3BPUDQxbXNYTg==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