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the planning of how you implement the efficiency with could be better once it strange behaviour. Then its implement behaviour like storage efficiency you could design algorithm that’s really tend to be very efficient, then it is better with Machine Learning or AI than it with traditional system.</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me this is not the same like performance and efficiency, Like you said the system should respond in that many seconds, doesn’t really have to be only efficient. It just should perform and in a specific way.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Correctness and eficiency maybe. Especially the correctness. Maybe efficiency can be a bit slower but when I talk to my clients, they are ok, it takes a bit longer, but they want the data to be correct like hundred percent.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Usually efficiency is not such a big deal but when it comes to ICU or close to patient, how the tool needs to respond it can be important. It could be important when we store a large amount of data but currently we are not generating a large amount of data.</w:t>
      </w:r>
    </w:p>
    <w:p w:rsidR="00000000" w:rsidDel="00000000" w:rsidP="00000000" w:rsidRDefault="00000000" w:rsidRPr="00000000" w14:paraId="00000009">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Efficiency is not so much yet at leas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Sure. Because they can’t compromise the effectiveness of the software. You can have very fantastic functionality, they can be very interesting but if the non-functional requirements are not fulfilled, then the user or the result can be compromised.</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L84CJ7HOp9oIDyHSfErGeZzOw==">AMUW2mXhDXc8Z7DCuT50hsL70j7c8fHiaqaQAdw0AaMo3oCxT6ASDzdJ9IuFeuZUN7ff7J7l0MQjyHNQY0/DMT2wMD6E2zleSKwHkr0eNteT9DZDczww5+c=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