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 terms of explainability, fairness, and other metrics, quality attributes, of course, it’s a very important part of making any software as a service better. Definitely I will say, this is very important because the non-functional requirements will trigger the accuracy and better service of any software.</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can say it is a military contractor of almost 90 countries almost around. It has branches in 56 countries. And if some of the technologies that Thales provides goes wrong or anything, and if there is an issue based on the transparency or the fairness or being in a biased decision taken from the technology, then it will be also violating some international rules.</w:t>
      </w:r>
    </w:p>
    <w:p w:rsidR="00000000" w:rsidDel="00000000" w:rsidP="00000000" w:rsidRDefault="00000000" w:rsidRPr="00000000" w14:paraId="00000005">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There are some rules also, in fairness, the already accommodated and already have been taken into account by European Union and also by US law so that’s very important. Even though we can deliver some good product based on good accuracy, on the deep learning or something, that’s not enough in many cases.</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just talked about one that is fairness and explainability, because trying to give some decisions also delivered some additional answers.</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But for my field nowadays, people are mostly talking and raising the voice for explainability and for the fairness, where Machine Learning is getting more criticized.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think bias, ethics and fairness can be important.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w/2QSpRRqOgi++WlG+XoUmEaPQ==">AMUW2mWM6dXoS7mHZtbb4A1vIK9NJjR7T1J6b0E7VPuEsgng/V5evuNKtAZ2CJmkKBYv7r+QlnAxjNnc9zF7bmwezMhffVUJMFJYqm4scpLch+izAfp0Mbc=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