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Non-functional requirement that is very important is maintainability which I think is associated with the retrainability of machine learning system.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the maintainability. Testability as well, lots of comments as well and very good documentation as well. That is one of the most important part.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Maintainability would also be different, again, if you throw away your model, if you have a better one, don’t need them to maintain it, but you do need to maintain the pipeline that you generate. So, it’s a bit different.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Maintainability is of course something very important. I think we are quite early in our AI phase, so we are not considering that too much because I know things are changing over coming years, so we will switch some tools etc.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VmAllrujTY6TQRswwoWP7ZIhg==">AMUW2mUXVumpqxoRG+VSHH8kdLA6jQUwQo8JdpaHYpu9a8xSPeCgkRUG70C1ygJ7uphQIU69ppftf60LphcTwRQlbSrxma2YKqFBs/x9OyZ8yClSKiQcw50=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