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 035 – Self-Learning Module</w:t>
      </w:r>
    </w:p>
    <w:p>
      <w:r>
        <w:rPr>
          <w:sz w:val="22"/>
        </w:rPr>
        <w:t>Objective: Analyse every completed trade to improve future confidence scoring without changing core risk rules.</w:t>
      </w:r>
    </w:p>
    <w:p>
      <w:r>
        <w:rPr>
          <w:sz w:val="22"/>
        </w:rPr>
        <w:t>Features: trade outcome analysis, win/loss pattern detection, feature importance tracking, regime-based performance, strategy ranking, confidence calibration, monthly reports.</w:t>
      </w:r>
    </w:p>
    <w:p>
      <w:r>
        <w:rPr>
          <w:sz w:val="22"/>
        </w:rPr>
        <w:t>Inputs: trades, indicators, AI predictions, market regime, risk decisions.</w:t>
      </w:r>
    </w:p>
    <w:p>
      <w:r>
        <w:rPr>
          <w:sz w:val="22"/>
        </w:rPr>
        <w:t>Outputs: confidence adjustments, performance dashboard, recommendations.</w:t>
      </w:r>
    </w:p>
    <w:p>
      <w:r>
        <w:rPr>
          <w:sz w:val="22"/>
        </w:rPr>
        <w:t>Safety: Never bypass Risk Engine, never self-modify trading rules automatically, paper/backtest validation before adoption.</w:t>
      </w:r>
    </w:p>
    <w:p>
      <w:r>
        <w:rPr>
          <w:sz w:val="22"/>
        </w:rPr>
        <w:t>Acceptance: Deterministic analysis, full audit trail, explainable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