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ECBA" w14:textId="77777777" w:rsidR="003B2D91" w:rsidRDefault="00000000">
      <w:pPr>
        <w:pStyle w:val="Heading1"/>
      </w:pPr>
      <w:r>
        <w:t>Extracted Text from: 1.jpg</w:t>
      </w:r>
    </w:p>
    <w:p w14:paraId="39B0D4DB" w14:textId="6BFE9BC8" w:rsidR="00DD6C4F" w:rsidRDefault="00000000">
      <w:r>
        <w:t>"Studies are reported of a pair of</w:t>
      </w:r>
      <w:r w:rsidR="00233AC1">
        <w:t xml:space="preserve"> 27-year-old</w:t>
      </w:r>
      <w:r>
        <w:t xml:space="preserve"> identical twins,</w:t>
      </w:r>
      <w:r>
        <w:br/>
        <w:t>one of whom presented with an acute myocardial infarction. Because the</w:t>
      </w:r>
      <w:r>
        <w:br/>
        <w:t>twin</w:t>
      </w:r>
      <w:r w:rsidR="00417744">
        <w:t>s</w:t>
      </w:r>
      <w:r>
        <w:t xml:space="preserve"> are identical not only in their genetic constitution and strong</w:t>
      </w:r>
      <w:r>
        <w:br/>
        <w:t>f</w:t>
      </w:r>
      <w:r w:rsidR="00417744">
        <w:t>a</w:t>
      </w:r>
      <w:r>
        <w:t xml:space="preserve">mily </w:t>
      </w:r>
      <w:r w:rsidR="00417744">
        <w:t>h</w:t>
      </w:r>
      <w:r>
        <w:t>istory of coronary heart disease, but also in type of job,</w:t>
      </w:r>
      <w:r>
        <w:br/>
        <w:t>obesity end overindulgence in food, alcohol and tobacco, it is assumed</w:t>
      </w:r>
      <w:r>
        <w:br/>
        <w:t>that they are similarly affected by atherosclerosis.</w:t>
      </w:r>
      <w:r>
        <w:br/>
      </w:r>
      <w:r>
        <w:br/>
        <w:t xml:space="preserve">"A variety of studies were performed, including tests of </w:t>
      </w:r>
      <w:r w:rsidR="00417744">
        <w:t>carries</w:t>
      </w:r>
      <w:r>
        <w:br/>
        <w:t>physiology, blood coagulation and intermediary metabolism, in an effort</w:t>
      </w:r>
      <w:r>
        <w:br/>
        <w:t xml:space="preserve">to find deviations from the </w:t>
      </w:r>
      <w:r w:rsidR="00417744">
        <w:t>normal</w:t>
      </w:r>
      <w:r>
        <w:t xml:space="preserve"> which might be associated with the</w:t>
      </w:r>
      <w:r>
        <w:br/>
      </w:r>
      <w:r w:rsidR="00417744">
        <w:t>development</w:t>
      </w:r>
      <w:r>
        <w:t xml:space="preserve"> of atherosclerosis at such an early age. Results of tests</w:t>
      </w:r>
      <w:r>
        <w:br/>
        <w:t>of cardiovascular function and of the blood coagulation syste</w:t>
      </w:r>
      <w:r w:rsidR="00417744">
        <w:t>m</w:t>
      </w:r>
      <w:r>
        <w:t xml:space="preserve"> </w:t>
      </w:r>
      <w:r w:rsidR="00417744">
        <w:t>w</w:t>
      </w:r>
      <w:r>
        <w:t>ere within</w:t>
      </w:r>
      <w:r>
        <w:br/>
      </w:r>
      <w:r w:rsidR="00417744">
        <w:t>normal</w:t>
      </w:r>
      <w:r>
        <w:t xml:space="preserve"> limits in the healthy twin.</w:t>
      </w:r>
      <w:r>
        <w:br/>
      </w:r>
      <w:r>
        <w:br/>
        <w:t>“The ser</w:t>
      </w:r>
      <w:r w:rsidR="00417744">
        <w:t>um</w:t>
      </w:r>
      <w:r>
        <w:t xml:space="preserve"> lipid and lipoprotein patterns were abnormal in</w:t>
      </w:r>
      <w:r>
        <w:br/>
        <w:t>voth twins. The biochemical responses to test loads of fat and glucose</w:t>
      </w:r>
      <w:r>
        <w:br/>
        <w:t>were slightly outside the normal range.</w:t>
      </w:r>
      <w:r>
        <w:br/>
      </w:r>
      <w:r>
        <w:br/>
        <w:t>“It 1s suggested th</w:t>
      </w:r>
      <w:r w:rsidR="00417744">
        <w:t>a</w:t>
      </w:r>
      <w:r>
        <w:t>t the findings are representative of a</w:t>
      </w:r>
      <w:r w:rsidR="00417744">
        <w:t xml:space="preserve"> </w:t>
      </w:r>
      <w:r>
        <w:t>subtly abnormal metabolic response to the stress of chronic overnutrition</w:t>
      </w:r>
      <w:r w:rsidR="00417744">
        <w:t xml:space="preserve"> </w:t>
      </w:r>
      <w:r>
        <w:t>in inherently susceptible persons. Evidence is needed to determine whether</w:t>
      </w:r>
      <w:r w:rsidR="00417744">
        <w:t xml:space="preserve"> this</w:t>
      </w:r>
      <w:r>
        <w:t xml:space="preserve"> linked impairment of fat and carbohydrate tolerance is pr</w:t>
      </w:r>
      <w:r w:rsidR="00DD6C4F">
        <w:t>emature development</w:t>
      </w:r>
      <w:r>
        <w:t xml:space="preserve"> of</w:t>
      </w:r>
      <w:r w:rsidR="00DD6C4F">
        <w:t xml:space="preserve"> </w:t>
      </w:r>
      <w:r>
        <w:t>atherosclerosis."</w:t>
      </w:r>
    </w:p>
    <w:p w14:paraId="00628B38" w14:textId="66ADC1B4" w:rsidR="003B2D91" w:rsidRDefault="00000000" w:rsidP="00DD6C4F">
      <w:pPr>
        <w:ind w:left="4320"/>
      </w:pPr>
      <w:r>
        <w:br/>
        <w:t>Lees, Robert S., Canellos, G. P., Rosenberg,</w:t>
      </w:r>
      <w:r>
        <w:br/>
      </w:r>
      <w:r w:rsidR="00DD6C4F">
        <w:t xml:space="preserve">I. H. &amp; Hatch, F. </w:t>
      </w:r>
      <w:proofErr w:type="gramStart"/>
      <w:r w:rsidR="00DD6C4F">
        <w:t>T. ,</w:t>
      </w:r>
      <w:proofErr w:type="gramEnd"/>
      <w:r w:rsidR="00DD6C4F">
        <w:t xml:space="preserve"> Harward Medical</w:t>
      </w:r>
      <w:r>
        <w:t xml:space="preserve"> School, "Myocardial infarction in one of</w:t>
      </w:r>
      <w:r w:rsidR="00DD6C4F">
        <w:t xml:space="preserve"> a </w:t>
      </w:r>
      <w:r>
        <w:t xml:space="preserve">pair of </w:t>
      </w:r>
      <w:proofErr w:type="gramStart"/>
      <w:r>
        <w:t>twenty-seven year old</w:t>
      </w:r>
      <w:proofErr w:type="gramEnd"/>
      <w:r>
        <w:t xml:space="preserve"> identical</w:t>
      </w:r>
      <w:r w:rsidR="00DD6C4F">
        <w:t xml:space="preserve"> male twins,” An. J. of Medicine 34/5: 741-746, May 1963. </w:t>
      </w:r>
      <w:r>
        <w:br/>
      </w:r>
      <w:r>
        <w:br/>
      </w:r>
    </w:p>
    <w:p w14:paraId="5F838955" w14:textId="6317B8CA" w:rsidR="003B2D91" w:rsidRDefault="00000000">
      <w:r>
        <w:br w:type="page"/>
      </w:r>
      <w:r w:rsidR="00DD6C4F">
        <w:lastRenderedPageBreak/>
        <w:t xml:space="preserve"> </w:t>
      </w:r>
    </w:p>
    <w:p w14:paraId="54385F3D" w14:textId="77777777" w:rsidR="003B2D91" w:rsidRDefault="00000000">
      <w:pPr>
        <w:pStyle w:val="Heading1"/>
      </w:pPr>
      <w:r>
        <w:t>Extracted Text from: 2.jpg</w:t>
      </w:r>
    </w:p>
    <w:p w14:paraId="11AA9BD4" w14:textId="6899FA9B" w:rsidR="003B2D91" w:rsidRDefault="00000000">
      <w:r>
        <w:t xml:space="preserve">Vol. 14, No. 1, 1964 </w:t>
      </w:r>
      <w:r w:rsidR="008D6F0B">
        <w:t xml:space="preserve">        </w:t>
      </w:r>
      <w:r>
        <w:t>BIOCHEMICAL AND BIOPHYSICAL RESEARCH COMMUNICATIONS</w:t>
      </w:r>
      <w:r>
        <w:br/>
      </w:r>
      <w:r>
        <w:br/>
        <w:t xml:space="preserve">NUCLEAR RIBOSOMES, AN EARLY FACTOR IN TISSUE </w:t>
      </w:r>
      <w:r w:rsidR="008D6F0B">
        <w:t>R</w:t>
      </w:r>
      <w:r>
        <w:t>EPARATION</w:t>
      </w:r>
      <w:r>
        <w:br/>
      </w:r>
      <w:r>
        <w:br/>
        <w:t>S</w:t>
      </w:r>
      <w:r w:rsidR="008D6F0B">
        <w:t xml:space="preserve">. </w:t>
      </w:r>
      <w:proofErr w:type="spellStart"/>
      <w:r>
        <w:t>Gud</w:t>
      </w:r>
      <w:r w:rsidR="008D6F0B">
        <w:t>ojar</w:t>
      </w:r>
      <w:r>
        <w:t>nason</w:t>
      </w:r>
      <w:proofErr w:type="spellEnd"/>
      <w:r>
        <w:t xml:space="preserve"> and C. De Schryver</w:t>
      </w:r>
      <w:r>
        <w:br/>
        <w:t>Department of Medicine</w:t>
      </w:r>
      <w:r>
        <w:br/>
        <w:t>Wayne State University College of Medicine</w:t>
      </w:r>
      <w:r>
        <w:br/>
        <w:t>and Harper Hospital, Detroit, Michigan</w:t>
      </w:r>
      <w:r>
        <w:br/>
      </w:r>
      <w:r>
        <w:br/>
        <w:t>Receaved October 16, 1963</w:t>
      </w:r>
      <w:r>
        <w:br/>
      </w:r>
      <w:r>
        <w:br/>
        <w:t>The role of cytoplasmic ribosomes in protein synthesis has been</w:t>
      </w:r>
      <w:r>
        <w:br/>
        <w:t>studied extensively in the past; more recent discoveries suggest</w:t>
      </w:r>
      <w:r>
        <w:br/>
        <w:t>(Nol</w:t>
      </w:r>
      <w:r w:rsidR="00E57E16">
        <w:t>l</w:t>
      </w:r>
      <w:r>
        <w:t xml:space="preserve"> et al, 1963) that the functional units or protein synthesis are</w:t>
      </w:r>
      <w:r>
        <w:br/>
        <w:t>ribosomal aggregates, "ergosomes", consisting of particles held</w:t>
      </w:r>
      <w:r>
        <w:br/>
        <w:t>together by m-RNA. The origin of cytoplasmic ribosomes is a matter of</w:t>
      </w:r>
      <w:r>
        <w:br/>
        <w:t>some speculation but a current favorite is th</w:t>
      </w:r>
      <w:r w:rsidR="00E57E16">
        <w:t>a</w:t>
      </w:r>
      <w:r>
        <w:t>t ribosomal RNA is</w:t>
      </w:r>
      <w:r>
        <w:br/>
        <w:t>synthesized in the nucleus.</w:t>
      </w:r>
      <w:r>
        <w:br/>
      </w:r>
      <w:r>
        <w:br/>
        <w:t>The purpose of our report is to present some data which</w:t>
      </w:r>
      <w:r>
        <w:br/>
        <w:t>indicate that nuclear ribosomes are labeled earlier than cytoplasmic</w:t>
      </w:r>
      <w:r>
        <w:br/>
        <w:t>microsomes during tissue reparation, suggesting nuclear origin of the</w:t>
      </w:r>
      <w:r>
        <w:br/>
        <w:t>cytoplasmic microsomes. The studies were carried out on subcellular</w:t>
      </w:r>
      <w:r>
        <w:br/>
        <w:t>fractions of infarcted and normal cardiac muscle.</w:t>
      </w:r>
      <w:r>
        <w:br/>
      </w:r>
      <w:r>
        <w:br/>
        <w:t>MATERIAL AND METHODS</w:t>
      </w:r>
      <w:r>
        <w:br/>
      </w:r>
      <w:r>
        <w:br/>
        <w:t>Myocardial infarction was produced in dogs by ligation of</w:t>
      </w:r>
      <w:r>
        <w:br/>
        <w:t>branches of the anterior descending coronary artery, so that a homo-</w:t>
      </w:r>
      <w:r>
        <w:br/>
      </w:r>
      <w:proofErr w:type="spellStart"/>
      <w:r>
        <w:t>geneous</w:t>
      </w:r>
      <w:proofErr w:type="spellEnd"/>
      <w:r>
        <w:t xml:space="preserve"> infarct was obtained.</w:t>
      </w:r>
      <w:r>
        <w:br/>
        <w:t>Glycine-2-cl4 (specific activity 15.1 mc/</w:t>
      </w:r>
      <w:r w:rsidR="00E57E16">
        <w:t>mM</w:t>
      </w:r>
      <w:r>
        <w:t>ol) was injected</w:t>
      </w:r>
      <w:r>
        <w:br/>
        <w:t xml:space="preserve">intravenously, 30 </w:t>
      </w:r>
      <w:r w:rsidR="00E57E16">
        <w:t>u</w:t>
      </w:r>
      <w:r>
        <w:t>c per kg body weight. The animals were sacrificed</w:t>
      </w:r>
      <w:r>
        <w:br/>
      </w:r>
      <w:r>
        <w:br/>
        <w:t xml:space="preserve"> This work was supported by Grant No. H-5043 from the U.S. Public</w:t>
      </w:r>
      <w:r>
        <w:br/>
        <w:t>Health Service, The American Heart Association, The Michigan Heart</w:t>
      </w:r>
      <w:r>
        <w:br/>
        <w:t>Association, Life Insurance Medical Research Fund, Tobacco Industry</w:t>
      </w:r>
      <w:r>
        <w:br/>
        <w:t>Research Committee, The Burroughs-</w:t>
      </w:r>
      <w:r w:rsidR="00E00EBA">
        <w:t>welcome</w:t>
      </w:r>
      <w:r>
        <w:t xml:space="preserve"> Fund, and The John A</w:t>
      </w:r>
      <w:r w:rsidR="00E57E16">
        <w:t>.</w:t>
      </w:r>
      <w:r>
        <w:br/>
        <w:t>Hartford Foundation.</w:t>
      </w:r>
      <w:r>
        <w:br/>
      </w:r>
      <w:r>
        <w:br/>
      </w:r>
      <w:r>
        <w:lastRenderedPageBreak/>
        <w:t>12</w:t>
      </w:r>
      <w:r>
        <w:br/>
      </w:r>
      <w:r>
        <w:br/>
        <w:t>PUBLICATIONS 004251</w:t>
      </w:r>
      <w:r>
        <w:br/>
      </w:r>
    </w:p>
    <w:p w14:paraId="5928C05F" w14:textId="77777777" w:rsidR="003B2D91" w:rsidRDefault="00000000">
      <w:r>
        <w:br w:type="page"/>
      </w:r>
    </w:p>
    <w:p w14:paraId="0B68EABC" w14:textId="77777777" w:rsidR="003B2D91" w:rsidRDefault="00000000">
      <w:pPr>
        <w:pStyle w:val="Heading1"/>
      </w:pPr>
      <w:r>
        <w:lastRenderedPageBreak/>
        <w:t>Extracted Text from: 3.jpg</w:t>
      </w:r>
    </w:p>
    <w:p w14:paraId="796A7599" w14:textId="77777777" w:rsidR="000063C8" w:rsidRDefault="00000000" w:rsidP="003B2CE3">
      <w:pPr>
        <w:pStyle w:val="NoSpacing"/>
        <w:jc w:val="center"/>
      </w:pPr>
      <w:r>
        <w:t>CIGARETTE SMOKE FORMATION STUDIES. 1. DISTRIBUTION AND</w:t>
      </w:r>
      <w:r>
        <w:br/>
        <w:t>MAINSTREAM PRODUCTS FROM ADDED 14</w:t>
      </w:r>
      <w:r w:rsidR="00604BF2">
        <w:t xml:space="preserve"> -</w:t>
      </w:r>
      <w:r>
        <w:t xml:space="preserve"> DOTRIACONTANE-16, 17</w:t>
      </w:r>
      <w:r>
        <w:br/>
      </w:r>
      <w:r w:rsidR="003B2CE3">
        <w:t xml:space="preserve"> </w:t>
      </w:r>
    </w:p>
    <w:p w14:paraId="2D9B3447" w14:textId="77777777" w:rsidR="000063C8" w:rsidRDefault="00000000" w:rsidP="003B2CE3">
      <w:pPr>
        <w:pStyle w:val="NoSpacing"/>
        <w:jc w:val="center"/>
      </w:pPr>
      <w:r>
        <w:t>Robert W. Jenkins, Jr., Richard H. Newman,</w:t>
      </w:r>
      <w:r>
        <w:br/>
      </w:r>
      <w:r w:rsidR="003B2CE3">
        <w:t xml:space="preserve">   </w:t>
      </w:r>
      <w:r>
        <w:t xml:space="preserve">Robert D. Carpenter and Thomas S. </w:t>
      </w:r>
      <w:proofErr w:type="spellStart"/>
      <w:r>
        <w:t>Osdene</w:t>
      </w:r>
      <w:proofErr w:type="spellEnd"/>
    </w:p>
    <w:p w14:paraId="6A07DC86" w14:textId="26E801D6" w:rsidR="003B2CE3" w:rsidRDefault="00000000" w:rsidP="003B2CE3">
      <w:pPr>
        <w:pStyle w:val="NoSpacing"/>
        <w:jc w:val="center"/>
      </w:pPr>
      <w:r>
        <w:br/>
        <w:t>Philip Morris U.S.A.</w:t>
      </w:r>
    </w:p>
    <w:p w14:paraId="5301E931" w14:textId="5BC58B48" w:rsidR="003B2D91" w:rsidRDefault="000063C8" w:rsidP="003B2CE3">
      <w:pPr>
        <w:pStyle w:val="NoSpacing"/>
      </w:pPr>
      <w:r>
        <w:t xml:space="preserve">                                                                       </w:t>
      </w:r>
      <w:r w:rsidR="00000000">
        <w:t>Research Center</w:t>
      </w:r>
      <w:r w:rsidR="00000000">
        <w:br/>
      </w:r>
      <w:r w:rsidR="003B2CE3">
        <w:t xml:space="preserve">                                                                       </w:t>
      </w:r>
      <w:r w:rsidR="00000000">
        <w:t>Richmond, Virginia</w:t>
      </w:r>
      <w:r w:rsidR="00000000">
        <w:br/>
      </w:r>
      <w:r w:rsidR="00000000">
        <w:br/>
      </w:r>
      <w:r w:rsidR="00000000" w:rsidRPr="003B2CE3">
        <w:rPr>
          <w:u w:val="single"/>
        </w:rPr>
        <w:t>INTRODUCTION</w:t>
      </w:r>
      <w:r w:rsidR="00000000">
        <w:br/>
      </w:r>
      <w:r w:rsidR="00000000">
        <w:br/>
        <w:t>The paraffinic hydrocarbons present in tobacco leaf tissue have received considerable attention. Tobacco leaf contains many paraffins, with n-hentriacontane (C3</w:t>
      </w:r>
      <w:r w:rsidR="003B2CE3">
        <w:t>1</w:t>
      </w:r>
      <w:r w:rsidR="00000000">
        <w:t xml:space="preserve"> H</w:t>
      </w:r>
      <w:r w:rsidR="003B2CE3">
        <w:t>64</w:t>
      </w:r>
      <w:r w:rsidR="00000000">
        <w:t xml:space="preserve">) as the </w:t>
      </w:r>
      <w:r w:rsidR="00000000">
        <w:br/>
        <w:t>major component (1). The C</w:t>
      </w:r>
      <w:proofErr w:type="gramStart"/>
      <w:r w:rsidR="003B2CE3">
        <w:t xml:space="preserve">27, </w:t>
      </w:r>
      <w:r w:rsidR="00000000">
        <w:t xml:space="preserve"> C</w:t>
      </w:r>
      <w:r w:rsidR="003B2CE3">
        <w:t xml:space="preserve">29, </w:t>
      </w:r>
      <w:r w:rsidR="00000000">
        <w:t xml:space="preserve"> C</w:t>
      </w:r>
      <w:proofErr w:type="gramEnd"/>
      <w:r w:rsidR="003B2CE3">
        <w:t>30</w:t>
      </w:r>
      <w:r w:rsidR="00000000">
        <w:t>, C</w:t>
      </w:r>
      <w:r w:rsidR="003B2CE3">
        <w:t>32</w:t>
      </w:r>
      <w:r w:rsidR="00000000">
        <w:t>, and C</w:t>
      </w:r>
      <w:r w:rsidR="003B2CE3">
        <w:t>33</w:t>
      </w:r>
      <w:r w:rsidR="00000000">
        <w:t>, paraffins</w:t>
      </w:r>
      <w:r w:rsidR="003B2CE3">
        <w:t xml:space="preserve"> </w:t>
      </w:r>
      <w:r w:rsidR="00000000">
        <w:t>are also present, but in lesser concentrations. The total paraffin content is variable among the various types and grades</w:t>
      </w:r>
      <w:r w:rsidR="003B2CE3">
        <w:t xml:space="preserve"> </w:t>
      </w:r>
      <w:r w:rsidR="00000000">
        <w:t xml:space="preserve">of tobacco, but is about 0.3% of the dry weight </w:t>
      </w:r>
      <w:r w:rsidR="003B2CE3">
        <w:t>o</w:t>
      </w:r>
      <w:r w:rsidR="00000000">
        <w:t>f the tobacco. Mold, et al (2) found that over 70% of the paraffin fraction was made up of C</w:t>
      </w:r>
      <w:proofErr w:type="gramStart"/>
      <w:r w:rsidR="003B2CE3">
        <w:t xml:space="preserve">31, </w:t>
      </w:r>
      <w:r w:rsidR="00000000">
        <w:t xml:space="preserve"> C</w:t>
      </w:r>
      <w:proofErr w:type="gramEnd"/>
      <w:r w:rsidR="003B2CE3">
        <w:t>32</w:t>
      </w:r>
      <w:r w:rsidR="00000000">
        <w:t xml:space="preserve"> and C</w:t>
      </w:r>
      <w:r w:rsidR="003B2CE3">
        <w:t>33</w:t>
      </w:r>
      <w:r w:rsidR="00000000">
        <w:t xml:space="preserve"> hydrocarbons.</w:t>
      </w:r>
      <w:r w:rsidR="00000000">
        <w:br/>
      </w:r>
      <w:r w:rsidR="00000000">
        <w:br/>
        <w:t>Lam (3) reported in 1955 that the paraffin fraction of</w:t>
      </w:r>
      <w:r>
        <w:t xml:space="preserve"> </w:t>
      </w:r>
      <w:r w:rsidR="00000000">
        <w:t>tobacco extract pyrolyzed over pumice at 800°C, yielded measurable quantities of polycyclic hydrocarbons. This finding</w:t>
      </w:r>
      <w:r w:rsidR="00000000">
        <w:br/>
        <w:t xml:space="preserve">led to numerous studies by other investigators (4-9) to determine both the amount of paraffins present and the </w:t>
      </w:r>
      <w:proofErr w:type="gramStart"/>
      <w:r w:rsidR="00000000">
        <w:t>amount</w:t>
      </w:r>
      <w:proofErr w:type="gramEnd"/>
      <w:r w:rsidR="00000000">
        <w:t xml:space="preserve"> of</w:t>
      </w:r>
      <w:r>
        <w:t xml:space="preserve"> </w:t>
      </w:r>
      <w:r w:rsidR="00000000">
        <w:t xml:space="preserve">polycyclic hydrocarbons which might be </w:t>
      </w:r>
      <w:r>
        <w:t>generated</w:t>
      </w:r>
      <w:r w:rsidR="00000000">
        <w:t xml:space="preserve"> </w:t>
      </w:r>
      <w:r>
        <w:t>from</w:t>
      </w:r>
      <w:r w:rsidR="00000000">
        <w:t xml:space="preserve"> the paraffin in the burning cigarette. Wynder and Hoffman (8) have</w:t>
      </w:r>
      <w:r w:rsidR="00000000">
        <w:br/>
        <w:t>discussed these findings in some detail in their consideration</w:t>
      </w:r>
      <w:r>
        <w:t xml:space="preserve"> </w:t>
      </w:r>
      <w:r w:rsidR="00000000">
        <w:t>of the precursors of polyaromatic hydrocarbons in cigarette</w:t>
      </w:r>
      <w:r w:rsidR="00000000">
        <w:br/>
      </w:r>
      <w:r w:rsidR="00000000">
        <w:br/>
      </w:r>
      <w:r>
        <w:t xml:space="preserve">                                                                                                                             </w:t>
      </w:r>
      <w:r w:rsidR="00000000">
        <w:t>CTR CONTRACTS 010091.</w:t>
      </w:r>
      <w:r w:rsidR="00000000">
        <w:br/>
      </w:r>
    </w:p>
    <w:p w14:paraId="0B5BCDCD" w14:textId="77777777" w:rsidR="003B2D91" w:rsidRDefault="00000000">
      <w:r>
        <w:br w:type="page"/>
      </w:r>
    </w:p>
    <w:p w14:paraId="5BF2F282" w14:textId="77777777" w:rsidR="003B2D91" w:rsidRDefault="00000000">
      <w:pPr>
        <w:pStyle w:val="Heading1"/>
      </w:pPr>
      <w:r>
        <w:lastRenderedPageBreak/>
        <w:t>Extracted Text from: 4.jpg</w:t>
      </w:r>
    </w:p>
    <w:p w14:paraId="124E588B" w14:textId="157945B5" w:rsidR="003B2D91" w:rsidRDefault="00880AD1" w:rsidP="00880AD1">
      <w:r>
        <w:t xml:space="preserve">                                                             </w:t>
      </w:r>
      <w:r w:rsidR="00000000">
        <w:t>PROPOSAL</w:t>
      </w:r>
      <w:r w:rsidR="00000000">
        <w:br/>
      </w:r>
      <w:r w:rsidR="00000000">
        <w:br/>
        <w:t>Several workers have demonstrated the effects of carbon monoxide on</w:t>
      </w:r>
      <w:r w:rsidR="00000000">
        <w:br/>
        <w:t>myocardial metabolism and coronary blood flow. However, the direct effect of</w:t>
      </w:r>
      <w:r w:rsidR="00000000">
        <w:br/>
        <w:t>carbon monoxide on the contractility of isolated heart muscle has no</w:t>
      </w:r>
      <w:r>
        <w:t>w</w:t>
      </w:r>
      <w:r w:rsidR="00000000">
        <w:t xml:space="preserve"> been</w:t>
      </w:r>
      <w:r w:rsidR="00000000">
        <w:br/>
        <w:t>thoroughly investigated. I propose to conduct a pilot study of this phenomena</w:t>
      </w:r>
      <w:r w:rsidR="00000000">
        <w:br/>
        <w:t>utilizing a Blink's isolated heart muscle apparatus and a range of carbon</w:t>
      </w:r>
      <w:r w:rsidR="00000000">
        <w:br/>
        <w:t>monoxide concentrations which will be determined experimentally. On the</w:t>
      </w:r>
      <w:r w:rsidR="00000000">
        <w:br/>
        <w:t>basis of information obtained from this investigation, further studies would</w:t>
      </w:r>
      <w:r w:rsidR="00000000">
        <w:br/>
        <w:t>be planned utilizing a working heart apparatus.</w:t>
      </w:r>
      <w:r w:rsidR="00000000">
        <w:br/>
      </w:r>
      <w:r w:rsidR="00000000">
        <w:br/>
        <w:t>Right ventricles removed from laboratory rats would be isolated in a</w:t>
      </w:r>
      <w:r w:rsidR="00000000">
        <w:br/>
        <w:t>Krebs-Ringers solution, attached to a force transducer and electrically</w:t>
      </w:r>
      <w:r w:rsidR="00000000">
        <w:br/>
        <w:t xml:space="preserve">stimulated. After equilibration with 95% </w:t>
      </w:r>
      <w:r>
        <w:t>O2</w:t>
      </w:r>
      <w:r w:rsidR="00000000">
        <w:t xml:space="preserve"> </w:t>
      </w:r>
      <w:r>
        <w:t xml:space="preserve">– 5% </w:t>
      </w:r>
      <w:r w:rsidR="00000000">
        <w:t xml:space="preserve"> C</w:t>
      </w:r>
      <w:r>
        <w:t>O2</w:t>
      </w:r>
      <w:r w:rsidR="00000000">
        <w:t xml:space="preserve"> the preparation would</w:t>
      </w:r>
      <w:r w:rsidR="00000000">
        <w:br/>
        <w:t>be challenged by bubbling various concentrations of CO - QO, - 5% COg through</w:t>
      </w:r>
      <w:r w:rsidR="00000000">
        <w:br/>
        <w:t>the medium and changes in function compared to the control period noted.</w:t>
      </w:r>
      <w:r w:rsidR="00000000">
        <w:br/>
        <w:t xml:space="preserve">Finally, </w:t>
      </w:r>
      <w:r>
        <w:t xml:space="preserve">95% </w:t>
      </w:r>
      <w:r>
        <w:t>O</w:t>
      </w:r>
      <w:r>
        <w:t>2 – 5%  C</w:t>
      </w:r>
      <w:r>
        <w:t>O</w:t>
      </w:r>
      <w:r>
        <w:t xml:space="preserve">2 </w:t>
      </w:r>
      <w:r w:rsidR="00000000">
        <w:t>would again be bubbled through the medium and</w:t>
      </w:r>
      <w:r w:rsidR="00000000">
        <w:br/>
        <w:t>recovery of function assessed.</w:t>
      </w:r>
      <w:r w:rsidR="00000000">
        <w:br/>
      </w:r>
      <w:r w:rsidR="00000000">
        <w:br/>
        <w:t>In addition to being recorded on the Grass recorder, the wave form of the</w:t>
      </w:r>
      <w:r w:rsidR="00000000">
        <w:br/>
        <w:t>contraction and stimulus pulse will be displayed on and photographed by a Hewlett-</w:t>
      </w:r>
      <w:r w:rsidR="00000000">
        <w:br/>
        <w:t>Packard Oscilliscope-camera system. In this manner the onset and decline of</w:t>
      </w:r>
      <w:r w:rsidR="00000000">
        <w:br/>
        <w:t>developed tension, the latency period between stimulus and contraction, and the</w:t>
      </w:r>
      <w:r w:rsidR="00000000">
        <w:br/>
        <w:t>resting tension during the pre-C0, the CO and recovery from CO periods will be</w:t>
      </w:r>
      <w:r w:rsidR="00000000">
        <w:br/>
        <w:t>compared.</w:t>
      </w:r>
      <w:r w:rsidR="00000000">
        <w:br/>
      </w:r>
      <w:r w:rsidR="00000000">
        <w:br/>
        <w:t>The information obtained in this functional analysis would then be used as</w:t>
      </w:r>
      <w:r w:rsidR="00000000">
        <w:br/>
        <w:t>the basis for a more detailed study of the biochemical and electrolyte changes</w:t>
      </w:r>
      <w:r w:rsidR="00000000">
        <w:br/>
        <w:t>produced in cardiac muscle as a result of CO exposure.</w:t>
      </w:r>
      <w:r w:rsidR="00000000">
        <w:br/>
      </w:r>
      <w:r w:rsidR="00000000">
        <w:br/>
        <w:t>50260322</w:t>
      </w:r>
      <w:r w:rsidR="00000000">
        <w:br/>
      </w:r>
    </w:p>
    <w:p w14:paraId="62A794E0" w14:textId="77777777" w:rsidR="003B2D91" w:rsidRDefault="00000000">
      <w:r>
        <w:br w:type="page"/>
      </w:r>
    </w:p>
    <w:p w14:paraId="5207410C" w14:textId="77777777" w:rsidR="003B2D91" w:rsidRDefault="00000000">
      <w:pPr>
        <w:pStyle w:val="Heading1"/>
      </w:pPr>
      <w:r>
        <w:lastRenderedPageBreak/>
        <w:t>Extracted Text from: 5.jpg</w:t>
      </w:r>
    </w:p>
    <w:p w14:paraId="7B5743DF" w14:textId="70518477" w:rsidR="003B2D91" w:rsidRDefault="00000000">
      <w:r>
        <w:t>PRELIMINARY EPIDEMIOLOGICAL STUDY OF THE EFFECTS OF SMOKING ON ELDERLY</w:t>
      </w:r>
      <w:r>
        <w:br/>
      </w:r>
      <w:r w:rsidR="00F83150">
        <w:t xml:space="preserve">                       </w:t>
      </w:r>
      <w:r>
        <w:t>POPULATION AT HIGH RISK FOR ALZHEIMER'S DISEASE</w:t>
      </w:r>
      <w:r>
        <w:br/>
      </w:r>
      <w:r>
        <w:br/>
        <w:t>The only proven risk factor for Alzheimer's disease (AD) other than age, is a</w:t>
      </w:r>
      <w:r>
        <w:br/>
        <w:t>positive family history of AD. However, it was not until work conducted by</w:t>
      </w:r>
      <w:r>
        <w:br/>
        <w:t xml:space="preserve">Breitner and </w:t>
      </w:r>
      <w:proofErr w:type="spellStart"/>
      <w:r>
        <w:t>Folstein</w:t>
      </w:r>
      <w:proofErr w:type="spellEnd"/>
      <w:r>
        <w:t xml:space="preserve"> that it be</w:t>
      </w:r>
      <w:r w:rsidR="00FD4523">
        <w:t>c</w:t>
      </w:r>
      <w:r>
        <w:t xml:space="preserve">ame clear how powerful </w:t>
      </w:r>
      <w:r w:rsidR="003666CB">
        <w:t>effect genetics</w:t>
      </w:r>
      <w:r>
        <w:t xml:space="preserve"> may</w:t>
      </w:r>
      <w:r>
        <w:br/>
        <w:t>play in AD (1). According to these investigators Alzheimer's probands with</w:t>
      </w:r>
      <w:r>
        <w:br/>
        <w:t>characteristic symptoms of apraxia or aphasia, have first degree relatives whose</w:t>
      </w:r>
      <w:r>
        <w:br/>
        <w:t>cumulative incidence of AD approaches 50% by age 90. These results may suggest</w:t>
      </w:r>
      <w:r>
        <w:br/>
        <w:t>that the most common form of Alzheimer's disease is transmitted by an autosomal</w:t>
      </w:r>
      <w:r>
        <w:br/>
        <w:t>dominant gene, but the pattern of inheritance is difficult to detect in many studies</w:t>
      </w:r>
      <w:r>
        <w:br/>
        <w:t>because most people with the gene do not live long enough to show AD. When the</w:t>
      </w:r>
      <w:r>
        <w:br/>
        <w:t>mortality tables for the United States population are superimposed on this genetic</w:t>
      </w:r>
      <w:r>
        <w:br/>
        <w:t>model of Alzheimer's disease, it is apparent that approximately one-sixth of all</w:t>
      </w:r>
      <w:r>
        <w:br/>
        <w:t>first degree relatives will develop Alzheimer's disease during their lifetime.</w:t>
      </w:r>
      <w:r>
        <w:br/>
      </w:r>
      <w:r>
        <w:br/>
        <w:t>Figure 1 provides additional evidence in favor of genetic causes in</w:t>
      </w:r>
      <w:r w:rsidR="00FD4523">
        <w:t xml:space="preserve"> </w:t>
      </w:r>
      <w:r>
        <w:t>Alzheimer's disease.</w:t>
      </w:r>
      <w:r w:rsidR="00FD4523">
        <w:t xml:space="preserve">   </w:t>
      </w:r>
      <w:r>
        <w:t>This figure summarizes results from the study of</w:t>
      </w:r>
      <w:r w:rsidR="00FD4523">
        <w:t xml:space="preserve"> </w:t>
      </w:r>
      <w:r>
        <w:t>approximately 60 AD cases (probands) and 300 first degree relatives. As was</w:t>
      </w:r>
      <w:r w:rsidR="00FD4523">
        <w:t xml:space="preserve"> </w:t>
      </w:r>
      <w:r>
        <w:t xml:space="preserve">predicted by previous work, these </w:t>
      </w:r>
      <w:r w:rsidR="003666CB">
        <w:t>first-degree</w:t>
      </w:r>
      <w:r w:rsidR="00FD4523">
        <w:t xml:space="preserve"> </w:t>
      </w:r>
      <w:r>
        <w:t>relatives have a cumulative</w:t>
      </w:r>
      <w:r w:rsidR="00FD4523">
        <w:t xml:space="preserve"> </w:t>
      </w:r>
      <w:r>
        <w:t>incidence of Alzheimer's disease that approaches 50% by age 90. Although other</w:t>
      </w:r>
      <w:r w:rsidR="00FD4523">
        <w:t xml:space="preserve"> </w:t>
      </w:r>
      <w:r>
        <w:t>models of inheritance could fit these data, the data are clearly consistent with the</w:t>
      </w:r>
      <w:r w:rsidR="00FD4523">
        <w:t xml:space="preserve"> </w:t>
      </w:r>
      <w:r>
        <w:t>suggestion that Alzheimer's disease is caused by an autosomal dominant gene whose</w:t>
      </w:r>
      <w:r w:rsidR="00FD4523">
        <w:t xml:space="preserve"> </w:t>
      </w:r>
      <w:r>
        <w:t>expression occurs very late in life.</w:t>
      </w:r>
      <w:r>
        <w:br/>
      </w:r>
      <w:r>
        <w:br/>
        <w:t>Whatever genetic model is used to explain these data, it is clear that first</w:t>
      </w:r>
      <w:r>
        <w:br/>
        <w:t>degree relatives of Alzheimer's patients constitute a group at high risk for the</w:t>
      </w:r>
      <w:r>
        <w:br/>
        <w:t>expression of Alzheimer's disease, and that this risk increases dramatically with</w:t>
      </w:r>
      <w:r>
        <w:br/>
        <w:t>age. Hence, this is an ideal population in which to study factors affecting the</w:t>
      </w:r>
      <w:r>
        <w:br/>
      </w:r>
      <w:r>
        <w:br/>
        <w:t>50287561</w:t>
      </w:r>
      <w:r>
        <w:br/>
      </w:r>
    </w:p>
    <w:p w14:paraId="5DD3AC09" w14:textId="77777777" w:rsidR="003B2D91" w:rsidRDefault="00000000">
      <w:r>
        <w:br w:type="page"/>
      </w:r>
    </w:p>
    <w:p w14:paraId="1C7BB003" w14:textId="77777777" w:rsidR="003B2D91" w:rsidRDefault="00000000">
      <w:pPr>
        <w:pStyle w:val="Heading1"/>
      </w:pPr>
      <w:r>
        <w:lastRenderedPageBreak/>
        <w:t>Extracted Text from: 6.jpg</w:t>
      </w:r>
    </w:p>
    <w:p w14:paraId="501C154B" w14:textId="77777777" w:rsidR="003B2D91" w:rsidRDefault="00000000">
      <w:r>
        <w:t>4 oo: DRS. GILL, PIERCE. MCALLISTER, CTR, o7&gt;</w:t>
      </w:r>
      <w:r>
        <w:br/>
      </w:r>
      <w:r>
        <w:br/>
        <w:t>Spring 1997 - App. #4721 - William A. Pryor, Ph.D. - Louisiana State</w:t>
      </w:r>
      <w:r>
        <w:br/>
        <w:t>Reviewer (Primary): McAllister</w:t>
      </w:r>
      <w:r>
        <w:br/>
        <w:t>Cigarette Smoke, Beta-Carotene, Alcohol and Cancer</w:t>
      </w:r>
      <w:r>
        <w:br/>
      </w:r>
      <w:r>
        <w:br/>
        <w:t>BACKGROUND and PLAN: Pryor is a “living legend" in the world of reactive oxidant</w:t>
      </w:r>
      <w:r>
        <w:br/>
        <w:t>species, particularly those involving free radicals and/or cigarette smoke. For many years, he has</w:t>
      </w:r>
      <w:r>
        <w:br/>
        <w:t>been a proponent of the theory that some low molecular weight water soluble quinone system</w:t>
      </w:r>
      <w:r>
        <w:br/>
        <w:t>radicals in cigarette smoke are responsible for DNA damage, specifically production of single</w:t>
      </w:r>
      <w:r>
        <w:br/>
        <w:t>strand breaks. Since his tar extract system produces superoxide, hydrogen peroxide and hydroxy]</w:t>
      </w:r>
      <w:r>
        <w:br/>
        <w:t>radicals, the mechanism, along with the identity of the radical remains obscure.</w:t>
      </w:r>
      <w:r>
        <w:br/>
      </w:r>
      <w:r>
        <w:br/>
        <w:t>Now comes the famous (or infamous) CARET trial (beta-carotene and retinol efficiency</w:t>
      </w:r>
      <w:r>
        <w:br/>
        <w:t>trial) and the ATBC (alpha-tocopherol-beta-carotene for cancer prevention) study in which it was</w:t>
      </w:r>
      <w:r>
        <w:br/>
        <w:t>revealed that smokers had suffered higher rates of lung cancer with beta-carotene</w:t>
      </w:r>
      <w:r>
        <w:br/>
        <w:t>supplementation. This was confounded by the finding that in fact alcohol intake more clearly</w:t>
      </w:r>
      <w:r>
        <w:br/>
        <w:t>correlated with cancer incidence. It has been suggested by some that at high circulating levels of</w:t>
      </w:r>
      <w:r>
        <w:br/>
        <w:t>beta-carotene in the CARET study, cigarette smoke might actually be interacting with that</w:t>
      </w:r>
      <w:r>
        <w:br/>
        <w:t>molecule to generate oxidizing tumor promoters. Pryor believes he is in a unique position to help</w:t>
      </w:r>
      <w:r>
        <w:br/>
        <w:t>unravel this birdsnest of interacting variables. He proposes five lines of inquiry:</w:t>
      </w:r>
      <w:r>
        <w:br/>
      </w:r>
      <w:r>
        <w:br/>
        <w:t>1. Does the aforementioned radical actually cause single strand breaks in DNA? In fact he</w:t>
      </w:r>
      <w:r>
        <w:br/>
        <w:t>has already shown that it does albeit at a tremendously high level of the tar extract.</w:t>
      </w:r>
      <w:r>
        <w:br/>
      </w:r>
      <w:r>
        <w:br/>
        <w:t>2. Does his quinone model compound bind to DNA? His model system for these studies ts</w:t>
      </w:r>
      <w:r>
        <w:br/>
        <w:t>an aged catechol solution which he has now prepared with carbon-14, He will ascertain its DNA</w:t>
      </w:r>
      <w:r>
        <w:br/>
        <w:t>binding ability.</w:t>
      </w:r>
      <w:r>
        <w:br/>
      </w:r>
      <w:r>
        <w:br/>
        <w:t>3. Does BaP bind to DNA in the presence of tar extract but not microsomes? Does BaP</w:t>
      </w:r>
      <w:r>
        <w:br/>
        <w:t>bind to DNA in the presence of microsomes with or without tar extract? Does the binding differ if</w:t>
      </w:r>
      <w:r>
        <w:br/>
        <w:t xml:space="preserve">normal or ethanol-induced microsomes are used? When binding occurs, what are the effects </w:t>
      </w:r>
      <w:r>
        <w:lastRenderedPageBreak/>
        <w:t>of</w:t>
      </w:r>
      <w:r>
        <w:br/>
        <w:t>beta-carotene and alpha tocopherol? He has in fact already demonstrated BaP binding, but it is in</w:t>
      </w:r>
      <w:r>
        <w:br/>
        <w:t>the presence of cigarette tar levels of up to 50:1 weight to weight excess over the DNA target.</w:t>
      </w:r>
      <w:r>
        <w:br/>
      </w:r>
      <w:r>
        <w:br/>
        <w:t>Can this be meaningful in any physiological sense?</w:t>
      </w:r>
      <w:r>
        <w:br/>
      </w:r>
      <w:r>
        <w:br/>
        <w:t>4. Do the micronutrients beta-carotene or alpha-tocopherol bind to DNA in the presence of</w:t>
      </w:r>
      <w:r>
        <w:br/>
        <w:t>microsomes and/or cigarette tar extract? Does the presence of BaP influence the binding of these</w:t>
      </w:r>
      <w:r>
        <w:br/>
        <w:t>micronutrients to DNA? With this series of experments, he hopes to test the hypothesis that</w:t>
      </w:r>
      <w:r>
        <w:br/>
        <w:t>carotenes may react with the radicals and/or oxidants to form species that can add to DNA to give</w:t>
      </w:r>
      <w:r>
        <w:br/>
        <w:t>an adduct that will then affect the subsequent binding of BaP. This is another kitchen sink series</w:t>
      </w:r>
      <w:r>
        <w:br/>
        <w:t>of experiments that could take tremendous amounts of time and when the results are extrapolated</w:t>
      </w:r>
      <w:r>
        <w:br/>
        <w:t>back to in vivo ranges, might or might not have something to do with reality.</w:t>
      </w:r>
      <w:r>
        <w:br/>
      </w:r>
      <w:r>
        <w:br/>
        <w:t>5. Do BaP DNA-adducts form in rat hepatocytes exposed to ACT? Are there differences</w:t>
      </w:r>
      <w:r>
        <w:br/>
        <w:t>in BaP DNA/DNA adducts between normal and ethinol-dependent rat hepatocytes? What is the</w:t>
      </w:r>
      <w:r>
        <w:br/>
        <w:t>effect of beta-carotene or alpha-tecopherol? This is actually one of the more interesting questions</w:t>
      </w:r>
      <w:r>
        <w:br/>
        <w:t>that he wants to address and may in fact relate directly to the ethanol finding in the ATBC study.</w:t>
      </w:r>
      <w:r>
        <w:br/>
      </w:r>
      <w:r>
        <w:br/>
        <w:t>APPLICANT: Prior is in his mid-sixties; he went directly from high school to the</w:t>
      </w:r>
      <w:r>
        <w:br/>
      </w:r>
      <w:r>
        <w:br/>
        <w:t>CTR-CONFIDENTIAL SUBJECT TO P.O. INUS v. PM ET AL. 99CV2496 (SCIENTIFIC PEER-REVIEW MATERIAL)</w:t>
      </w:r>
      <w:r>
        <w:br/>
      </w:r>
      <w:r>
        <w:br/>
      </w:r>
    </w:p>
    <w:p w14:paraId="6069AC8B" w14:textId="77777777" w:rsidR="003B2D91" w:rsidRDefault="00000000">
      <w:r>
        <w:br w:type="page"/>
      </w:r>
    </w:p>
    <w:p w14:paraId="510D4994" w14:textId="77777777" w:rsidR="003B2D91" w:rsidRDefault="00000000">
      <w:pPr>
        <w:pStyle w:val="Heading1"/>
      </w:pPr>
      <w:r>
        <w:lastRenderedPageBreak/>
        <w:t>Extracted Text from: 7.jpg</w:t>
      </w:r>
    </w:p>
    <w:p w14:paraId="05CCA0FD" w14:textId="77777777" w:rsidR="003B2D91" w:rsidRDefault="00000000">
      <w:r>
        <w:t>4/14/88 CU:. DRS. JACOBSON ,GLENN,SOMMERS ,SCIENTIFIC STAFF</w:t>
      </w:r>
      <w:r>
        <w:br/>
        <w:t>February 24, 1988</w:t>
      </w:r>
      <w:r>
        <w:br/>
      </w:r>
      <w:r>
        <w:br/>
        <w:t>GRANT APPLICATION NO. 2284</w:t>
      </w:r>
      <w:r>
        <w:br/>
      </w:r>
      <w:r>
        <w:br/>
        <w:t>Joseph D. Fenstermacher, Ph.D., State University of New York</w:t>
      </w:r>
      <w:r>
        <w:br/>
      </w:r>
      <w:r>
        <w:br/>
        <w:t>Dr. Fenstermacher a professor of physiology and biophysics in</w:t>
      </w:r>
      <w:r>
        <w:br/>
        <w:t>Stonybrook, New York, is interested in experiments on the rat to’</w:t>
      </w:r>
      <w:r>
        <w:br/>
        <w:t>determine and relate local cerebral blood flow and correlate it with</w:t>
      </w:r>
      <w:r>
        <w:br/>
        <w:t>local glucose utilization. He divided his goals in a whole series of</w:t>
      </w:r>
      <w:r>
        <w:br/>
        <w:t>subdivisions, and hypotheses. These hypotheses are related to the</w:t>
      </w:r>
      <w:r>
        <w:br/>
        <w:t>effect of nicotine on both cerebral blood flow and cerebral glucose</w:t>
      </w:r>
      <w:r>
        <w:br/>
        <w:t>utilization. For that purpose two experimental series of rats will be</w:t>
      </w:r>
      <w:r>
        <w:br/>
        <w:t>used, control and those with nicotine exposure. All methods are highly</w:t>
      </w:r>
      <w:r>
        <w:br/>
        <w:t>jndirect. For example, he will use quantitative autoradiography, in</w:t>
      </w:r>
      <w:r>
        <w:br/>
        <w:t>which the optical density is related to the radioactivity from standard</w:t>
      </w:r>
      <w:r>
        <w:br/>
        <w:t>data, he will use light microscopy in order to study morphometry. Blood</w:t>
      </w:r>
      <w:r>
        <w:br/>
        <w:t>flow will be measured with 14C iodoantipyrine. He seems to believe</w:t>
      </w:r>
      <w:r>
        <w:br/>
        <w:t>quite firmly in the idea that there is recruitment of blood vessels in</w:t>
      </w:r>
      <w:r>
        <w:br/>
        <w:t>the brain, a fact which has never been verified by direct observations.</w:t>
      </w:r>
      <w:r>
        <w:br/>
        <w:t>He also thinks that with this methodology he is able to determine volume</w:t>
      </w:r>
      <w:r>
        <w:br/>
        <w:t>of perfused microvessels. Despite a multiplicity of specific aims and</w:t>
      </w:r>
      <w:r>
        <w:br/>
        <w:t>hypotheses, it really boils down to a correlation between local blood</w:t>
      </w:r>
      <w:r>
        <w:br/>
        <w:t>flow and local glucose utilization.</w:t>
      </w:r>
      <w:r>
        <w:br/>
      </w:r>
      <w:r>
        <w:br/>
        <w:t>Since all methods are indirect, they are beset with a</w:t>
      </w:r>
      <w:r>
        <w:br/>
        <w:t>difficulty of drawing conclusion which are very involved and difficult</w:t>
      </w:r>
      <w:r>
        <w:br/>
        <w:t>to substantiate. For example, quantitative autoradiography, iodoanti-</w:t>
      </w:r>
      <w:r>
        <w:br/>
        <w:t>pyrine measurement of surface area and permeability products all these</w:t>
      </w:r>
      <w:r>
        <w:br/>
      </w:r>
      <w:r>
        <w:br/>
        <w:t>are highly speculative.</w:t>
      </w:r>
      <w:r>
        <w:br/>
      </w:r>
    </w:p>
    <w:p w14:paraId="1648C4CF" w14:textId="77777777" w:rsidR="003B2D91" w:rsidRDefault="00000000">
      <w:r>
        <w:br w:type="page"/>
      </w:r>
    </w:p>
    <w:p w14:paraId="00B2E3D6" w14:textId="77777777" w:rsidR="003B2D91" w:rsidRDefault="00000000">
      <w:pPr>
        <w:pStyle w:val="Heading1"/>
      </w:pPr>
      <w:r>
        <w:lastRenderedPageBreak/>
        <w:t>Extracted Text from: 8.jpg</w:t>
      </w:r>
    </w:p>
    <w:p w14:paraId="69DB49C7" w14:textId="77777777" w:rsidR="003B2D91" w:rsidRDefault="00000000">
      <w:r>
        <w:t>1) Synopsis of Current Research:</w:t>
      </w:r>
      <w:r>
        <w:br/>
        <w:t>There are many drugs of abuse, each of which has a distinctive pharmacology. For example,</w:t>
      </w:r>
      <w:r>
        <w:br/>
      </w:r>
      <w:r>
        <w:br/>
        <w:t>stimulant drugs (e.g., amphetamine and caffeine) and depressant drugs (e.g., alcohol and</w:t>
      </w:r>
      <w:r>
        <w:br/>
        <w:t>barbiturates) differ in their subjective effects, but both types of drugs are abused. It has been</w:t>
      </w:r>
      <w:r>
        <w:br/>
        <w:t>demonstrated in animal studies that certain brain areas play relatively more important roles in the</w:t>
      </w:r>
      <w:r>
        <w:br/>
        <w:t>development and maintenance of behaviors related to the rewarding properties of drugs of abuse.</w:t>
      </w:r>
      <w:r>
        <w:br/>
        <w:t>Two important pathways are the mesolimbic and mesocortical dopamine pathways, which emerge</w:t>
      </w:r>
      <w:r>
        <w:br/>
        <w:t>from the ventral tegmental area of Tsai (VTA). Projection of the neurons of the VTA to the nucleus</w:t>
      </w:r>
      <w:r>
        <w:br/>
        <w:t>accumbens (mesolimbic) and to the prefrontal cortex (mesocoitical) appear to be important for the</w:t>
      </w:r>
      <w:r>
        <w:br/>
        <w:t>expression of the rewarding properties of a wide variety of drugs of abuse. Most drugs of abuse</w:t>
      </w:r>
      <w:r>
        <w:br/>
        <w:t>increase neurotransmission through the mesolimbic-mesocortical sytems, either by increasing activity</w:t>
      </w:r>
      <w:r>
        <w:br/>
        <w:t>of VTA neurons (e.g., nicotine, opiates, ethanol) or by augmenting the release of dopamine in the</w:t>
      </w:r>
      <w:r>
        <w:br/>
        <w:t>terminal areas (e.g., cocaine and amphetamine). Because the VTA is one important area for the</w:t>
      </w:r>
      <w:r>
        <w:br/>
        <w:t>mediation of drug-induced reward, the study of how various abused substances affect neurons of</w:t>
      </w:r>
      <w:r>
        <w:br/>
        <w:t>the VTA is a critical for the treatment of addiction.</w:t>
      </w:r>
      <w:r>
        <w:br/>
      </w:r>
      <w:r>
        <w:br/>
        <w:t>The overall goal of my research is to develop a better understanding of the physiology and</w:t>
      </w:r>
      <w:r>
        <w:br/>
        <w:t>pharmacology of central reward systems. In order to approach this goal, I have developed a brain</w:t>
      </w:r>
      <w:r>
        <w:br/>
        <w:t>slice preparation of the VTA suitable for intra- and extracellular recording. Putative dopamine-</w:t>
      </w:r>
      <w:r>
        <w:br/>
        <w:t>containing neurons of the mesencephalon have been well characterized electrophysiologically in</w:t>
      </w:r>
      <w:r>
        <w:br/>
        <w:t>vivo; neurons in the brain slice appear similar to neurons studied in vivo. VTA neurons fire</w:t>
      </w:r>
      <w:r>
        <w:br/>
        <w:t>spontaneously in a slow (0.5 - 5 Hz), regular pattern. We have examined the effects of several drugs</w:t>
      </w:r>
      <w:r>
        <w:br/>
        <w:t>of abuse on this spontaneous activity. Among the agents we have examined are cocaine (Brodie</w:t>
      </w:r>
      <w:r>
        <w:br/>
        <w:t>and Dunwiddie, 1990) and ethyl alcohol (Brodie, et al., 1990). We are continuing our study of</w:t>
      </w:r>
      <w:r>
        <w:br/>
      </w:r>
      <w:r>
        <w:lastRenderedPageBreak/>
        <w:t>ethanol, by using intracellular recording in an attempt to determine the mechanism of action of</w:t>
      </w:r>
      <w:r>
        <w:br/>
        <w:t>ethanol-induced excitation of VTA neurons. Ethanol appears to cause a slight depolarization, a</w:t>
      </w:r>
      <w:r>
        <w:br/>
        <w:t>decrease in the action potential amplitude, and a decrease in the amplitude of the</w:t>
      </w:r>
      <w:r>
        <w:br/>
        <w:t>afterhyperpolarization (Brodie and Shefner, 1989). Further experiments are planned to determine</w:t>
      </w:r>
      <w:r>
        <w:br/>
        <w:t>whether any of these effects underlies the ethanol-induced excitation of VIA neurons.</w:t>
      </w:r>
      <w:r>
        <w:br/>
      </w:r>
      <w:r>
        <w:br/>
        <w:t>We have also investigated the effects of nicotine on the spontaneous activity of VTA neurons</w:t>
      </w:r>
      <w:r>
        <w:br/>
        <w:t>(Brodie, 1991). Nicotine excites VTA neurons in a concentration-dependent manner. VTA neurons</w:t>
      </w:r>
      <w:r>
        <w:br/>
        <w:t>possess an EC50 for nicotine-induced excitation of about 250 nM; therefore, VIA neurons are more</w:t>
      </w:r>
      <w:r>
        <w:br/>
        <w:t>sensitive to the excitatory effects of nicotine than many other central neurons. Furthermore, little</w:t>
      </w:r>
      <w:r>
        <w:br/>
        <w:t>desensitization to the effects of nicotine are seen at lower concentrations (less than 1 pM) (Brodie,</w:t>
      </w:r>
      <w:r>
        <w:br/>
        <w:t>1991). The response of VTA neurons to nicotine is blocked by hexamethonium or mecamylamine.</w:t>
      </w:r>
      <w:r>
        <w:br/>
        <w:t>VTA neurons also possess pirenzepine-sensitive muscarinic cholinergic receptors (Brodie and</w:t>
      </w:r>
      <w:r>
        <w:br/>
        <w:t>Mueller, 1988; Lacey, et al, 1988), so studies of nicotinic cholinergic receptors must be performed</w:t>
      </w:r>
      <w:r>
        <w:br/>
        <w:t>with specific nicotinic agonists, and/or in the presence of muscarinic cholinergic antagonists. With</w:t>
      </w:r>
      <w:r>
        <w:br/>
        <w:t>our preparation, a full range of concentrations of nicotine can be applied to the same VTA neuron,</w:t>
      </w:r>
      <w:r>
        <w:br/>
        <w:t>which would permit a more precise characterization of the specific receptor subtype involved in</w:t>
      </w:r>
      <w:r>
        <w:br/>
        <w:t>mediating nicotine-induced excitation of VTA neurons.</w:t>
      </w:r>
      <w:r>
        <w:br/>
      </w:r>
      <w:r>
        <w:br/>
        <w:t>2) Research Plan and Goals of Proposed Research</w:t>
      </w:r>
      <w:r>
        <w:br/>
        <w:t>Molecular biologists have identified a number of different subtypes of the nicotinic</w:t>
      </w:r>
      <w:r>
        <w:br/>
      </w:r>
      <w:r>
        <w:br/>
        <w:t>cholinergic receptor. It is known that the nicotinic cholinergic receptor is a pentamer formed from</w:t>
      </w:r>
      <w:r>
        <w:br/>
        <w:t>4 subunits: 2 « subunits, and one each of B, y (or e) and 8. Recent studies from a number of</w:t>
      </w:r>
      <w:r>
        <w:br/>
        <w:t>laboratories indicate that pharmacological specificity is conferred by the « and B subunits. Five</w:t>
      </w:r>
      <w:r>
        <w:br/>
        <w:t>forms of the « subunit («2 - #6) and four forms of the B subunit (B2 - 65) are found in rat brain.</w:t>
      </w:r>
      <w:r>
        <w:br/>
        <w:t xml:space="preserve">Different combinations of the various forms of these subunits constitute functionally </w:t>
      </w:r>
      <w:r>
        <w:lastRenderedPageBreak/>
        <w:t>different</w:t>
      </w:r>
      <w:r>
        <w:br/>
      </w:r>
      <w:r>
        <w:br/>
        <w:t>1</w:t>
      </w:r>
      <w:r>
        <w:br/>
      </w:r>
    </w:p>
    <w:p w14:paraId="1CAA4A9C" w14:textId="77777777" w:rsidR="003B2D91" w:rsidRDefault="00000000">
      <w:r>
        <w:br w:type="page"/>
      </w:r>
    </w:p>
    <w:p w14:paraId="4BFD1684" w14:textId="77777777" w:rsidR="003B2D91" w:rsidRDefault="00000000">
      <w:pPr>
        <w:pStyle w:val="Heading1"/>
      </w:pPr>
      <w:r>
        <w:lastRenderedPageBreak/>
        <w:t>Extracted Text from: 9.jpg</w:t>
      </w:r>
    </w:p>
    <w:p w14:paraId="4755A99C" w14:textId="77777777" w:rsidR="003B2D91" w:rsidRDefault="00000000">
      <w:r>
        <w:t>Hogue, Brenda G.</w:t>
      </w:r>
      <w:r>
        <w:br/>
        <w:t>Human Coronavirus Receptors</w:t>
      </w:r>
      <w:r>
        <w:br/>
      </w:r>
      <w:r>
        <w:br/>
        <w:t>Background and Significance</w:t>
      </w:r>
      <w:r>
        <w:br/>
      </w:r>
      <w:r>
        <w:br/>
        <w:t>Coronaviruses are one of 14 RNA virus families that infect humans and a broad range</w:t>
      </w:r>
      <w:r>
        <w:br/>
        <w:t>of domestic animal species. Some of the viruses appear to be zoonotic. They are a</w:t>
      </w:r>
      <w:r>
        <w:br/>
        <w:t>medically important group of viruses exhibiting tropisms for the lung, intestine, liver,</w:t>
      </w:r>
      <w:r>
        <w:br/>
        <w:t>brain, kidney, eye, heart, and peritoneum resulting primarily in respiratory,</w:t>
      </w:r>
      <w:r>
        <w:br/>
        <w:t>gastrointestinal, cardiovascular, and neurological diseases. In humans, they are known</w:t>
      </w:r>
      <w:r>
        <w:br/>
        <w:t>to cause acute respiratory infections and gastroenteritis. However, they have been</w:t>
      </w:r>
      <w:r>
        <w:br/>
        <w:t>implicated in association with acute lethal necrotizing enterocolites in children (Science</w:t>
      </w:r>
      <w:r>
        <w:br/>
        <w:t>229:978, 1985), chronic enterocolites or Sprue (Dig. Dis.Sci. 27:1039, 1982),</w:t>
      </w:r>
      <w:r>
        <w:br/>
        <w:t>pericarditis (J. Med. Virol. 6:259, 1980) and multiple sclerosis (Science 209:933,</w:t>
      </w:r>
      <w:r>
        <w:br/>
        <w:t>1980; Ann. Neurol. 31:525, 1992; Talbot et al, Virol, in press). Two recent studies</w:t>
      </w:r>
      <w:r>
        <w:br/>
        <w:t>show that a significant sample of multiple sclerosis brain tissue was positive when</w:t>
      </w:r>
      <w:r>
        <w:br/>
        <w:t>either specific probes or PCR were used to detect coronavirus nucleic acid (Ann,</w:t>
      </w:r>
      <w:r>
        <w:br/>
        <w:t>Neurol. 31:525, 1992; Talbot et al, Virol., in press). This is particularly significant</w:t>
      </w:r>
      <w:r>
        <w:br/>
        <w:t>since coronaviruses infect humans and could possibly serve as a cofactor in such a</w:t>
      </w:r>
      <w:r>
        <w:br/>
        <w:t>neurological disease. Recently a primate model was used to show that the primate CNS</w:t>
      </w:r>
      <w:r>
        <w:br/>
        <w:t>is susceptible to infection with coronaviruses (Virol 188:274, 1992). It has been</w:t>
      </w:r>
      <w:r>
        <w:br/>
        <w:t>clearly shown that coronaviruses can target to the brain of experimentally infected mice</w:t>
      </w:r>
      <w:r>
        <w:br/>
        <w:t>(Perlman, et al., 1989, 1990). It seems reasonable to postulate that such may also</w:t>
      </w:r>
      <w:r>
        <w:br/>
        <w:t>occur in humans during the course of a "normal respiratory infection" with these</w:t>
      </w:r>
      <w:r>
        <w:br/>
        <w:t>viruses. It is well documented that coronaviruses can readily establish persistence in</w:t>
      </w:r>
      <w:r>
        <w:br/>
        <w:t>both tissue culture and in the animal. This may apply to humans as well. Our</w:t>
      </w:r>
      <w:r>
        <w:br/>
        <w:t>proposed studies are significant in that they will increase our understanding of the</w:t>
      </w:r>
      <w:r>
        <w:br/>
        <w:t>initial step in infection of the human respiratory tract by coronaviruses and allow us to</w:t>
      </w:r>
      <w:r>
        <w:br/>
        <w:t>begin studies toward understanding how these viruses also infect the CNS.</w:t>
      </w:r>
      <w:r>
        <w:br/>
      </w:r>
      <w:r>
        <w:br/>
        <w:t>Three receptors have been identified thus far for coronaviruses. The receptor for the</w:t>
      </w:r>
      <w:r>
        <w:br/>
        <w:t>mouse hepatitis coronavirus-A59 (MHV-A59) is a member of the carcinoembryonic</w:t>
      </w:r>
      <w:r>
        <w:br/>
        <w:t>antigen family. Aminopeptidase N, also known as CD13, was recently identified as the</w:t>
      </w:r>
      <w:r>
        <w:br/>
        <w:t>receptor for the human coronavirus-229E and transmissible gastroenteritis coronavirus</w:t>
      </w:r>
      <w:r>
        <w:br/>
        <w:t>(TGEV) (Nature 357:417; 420, 1992). All of these coronaviruses have two major</w:t>
      </w:r>
      <w:r>
        <w:br/>
        <w:t>envelope proteins, the spike (S) and matrix (M). In all cases S interacts with the</w:t>
      </w:r>
      <w:r>
        <w:br/>
        <w:t>receptor. Some coronaviruses have, in addition to the S and M, a third major envelope</w:t>
      </w:r>
      <w:r>
        <w:br/>
        <w:t>protein, the hemagglutinin-esterase (HE). BCV, a bovine coronavirus, expresses HE</w:t>
      </w:r>
      <w:r>
        <w:br/>
        <w:t>and this protein can use N-acetyl-9-O-acetylneuraminic acid (Neu5,9Ac3) as a receptor</w:t>
      </w:r>
      <w:r>
        <w:br/>
        <w:t>determinant to initiate an infection (J. Gen. Virol. 73:901, 1992), The data from this</w:t>
      </w:r>
      <w:r>
        <w:br/>
        <w:t>study suggests that a second receptor may be involved. The receptor(s) for the human</w:t>
      </w:r>
      <w:r>
        <w:br/>
        <w:t>coronavirus OC43 has not been identified. HCV-OC43 does bind Neu5,9Ac&gt; on</w:t>
      </w:r>
      <w:r>
        <w:br/>
      </w:r>
      <w:r>
        <w:lastRenderedPageBreak/>
        <w:t>erythrocytes (Proc. Natl. Acad. Sci., USA 85:4526); however, we do not know if shi</w:t>
      </w:r>
      <w:r>
        <w:br/>
        <w:t>is a receptor determinant on cells that are normally infected by this virus. Data from</w:t>
      </w:r>
      <w:r>
        <w:br/>
      </w:r>
      <w:r>
        <w:br/>
      </w:r>
    </w:p>
    <w:p w14:paraId="3C588F7A" w14:textId="77777777" w:rsidR="003B2D91" w:rsidRDefault="00000000">
      <w:r>
        <w:br w:type="page"/>
      </w:r>
    </w:p>
    <w:p w14:paraId="2C8511F0" w14:textId="77777777" w:rsidR="003B2D91" w:rsidRDefault="00000000">
      <w:pPr>
        <w:pStyle w:val="Heading1"/>
      </w:pPr>
      <w:r>
        <w:lastRenderedPageBreak/>
        <w:t>Extracted Text from: 10.jpg</w:t>
      </w:r>
    </w:p>
    <w:p w14:paraId="080DFD22" w14:textId="77777777" w:rsidR="003B2D91" w:rsidRDefault="00000000">
      <w:r>
        <w:t>Cytokine Expression in the CNS: Correlation with the Expression of Neuronal Nicotinic</w:t>
      </w:r>
      <w:r>
        <w:br/>
        <w:t>Acetylcholine Receptors</w:t>
      </w:r>
      <w:r>
        <w:br/>
      </w:r>
      <w:r>
        <w:br/>
        <w:t>Introduction</w:t>
      </w:r>
      <w:r>
        <w:br/>
      </w:r>
      <w:r>
        <w:br/>
        <w:t>Senile dementia of the Alzheimer's type (Alzheimer’s disease, AD) is characterized by</w:t>
      </w:r>
      <w:r>
        <w:br/>
        <w:t>gliosis and deposits of R-amyloid protein in various regions of the cerebral cortex and</w:t>
      </w:r>
      <w:r>
        <w:br/>
        <w:t>hippocampus. Changes in the expression of nicotinic acetylcholine receptors (nAChR) have</w:t>
      </w:r>
      <w:r>
        <w:br/>
        <w:t>been observed in the early stages of AD and smoking can delay the onset of this disease</w:t>
      </w:r>
      <w:r>
        <w:br/>
        <w:t>suggesting that smoking may alter the expression of nAChR. Are there other factors that may</w:t>
      </w:r>
      <w:r>
        <w:br/>
        <w:t>contribute to the observed changes in nAChR expression associated with AD? One molecule</w:t>
      </w:r>
      <w:r>
        <w:br/>
        <w:t>that may play a regulatory role in the CNS is !L-1. The cytokine IL-1 induces inflammation and</w:t>
      </w:r>
      <w:r>
        <w:br/>
        <w:t>immunity in the peripheral immune system, but in the CNS IL-1 induces astrogliosis,</w:t>
      </w:r>
      <w:r>
        <w:br/>
        <w:t>cholinergic neuron sprouting, and the production of amyloid proteins. Further, brain IL-1 is</w:t>
      </w:r>
      <w:r>
        <w:br/>
        <w:t>elevated in AD. The purpose of this application is to determine whether changes in cytokine</w:t>
      </w:r>
      <w:r>
        <w:br/>
        <w:t>expression occur in conjunction with and perhaps resulting from, changes in nAChR</w:t>
      </w:r>
      <w:r>
        <w:br/>
        <w:t>expression.</w:t>
      </w:r>
      <w:r>
        <w:br/>
      </w:r>
      <w:r>
        <w:br/>
        <w:t>Ongoing studies in my laboratory suggest an overlap in the expression of members of the IL-1</w:t>
      </w:r>
      <w:r>
        <w:br/>
        <w:t>family (IL-1, IL-18, and IL-1ra) and members of the nAChr family in the CNS as measured by</w:t>
      </w:r>
      <w:r>
        <w:br/>
        <w:t>in situ hybridization and immunohistochemistry. | have also observed that the expression of</w:t>
      </w:r>
      <w:r>
        <w:br/>
        <w:t>some members of each family are co-regulated in PC12 cells subsequent to differentiation into</w:t>
      </w:r>
      <w:r>
        <w:br/>
        <w:t>neuronal-like cells by nerve growth factor (NGF) or into chromaffin-like cells by</w:t>
      </w:r>
      <w:r>
        <w:br/>
        <w:t>dexamethasone. These findings are consistent with the notion that there exists a regulatory</w:t>
      </w:r>
      <w:r>
        <w:br/>
        <w:t>interplay between IL-1, NGF, and nAChRs in the CNS.</w:t>
      </w:r>
      <w:r>
        <w:br/>
      </w:r>
      <w:r>
        <w:br/>
        <w:t>The experiments to be proposed will investigate the possibility that the expression of a</w:t>
      </w:r>
      <w:r>
        <w:br/>
        <w:t>cytokine in the CNS both enhances the action of trophic factors that alter the expression of</w:t>
      </w:r>
      <w:r>
        <w:br/>
        <w:t>nAChRs and whose expression in turn is modified by the production of nAChRs.</w:t>
      </w:r>
      <w:r>
        <w:br/>
      </w:r>
      <w:r>
        <w:br/>
        <w:t>Background</w:t>
      </w:r>
      <w:r>
        <w:br/>
      </w:r>
      <w:r>
        <w:br/>
        <w:t>An extended family of related cDNAs that encode functional neuronal nAChRs has been</w:t>
      </w:r>
      <w:r>
        <w:br/>
        <w:t>identified. The mammalian neuronal nAChR family consists of at least six a-like subunits</w:t>
      </w:r>
      <w:r>
        <w:br/>
        <w:t>(designated a2, a3, a4, a5, a6, and a7) and three Q-like subunits (designated R2, R3, and R4).</w:t>
      </w:r>
      <w:r>
        <w:br/>
        <w:t>in situ hybridization has demonstrated that RNA for each of these subunits is expressed in</w:t>
      </w:r>
      <w:r>
        <w:br/>
        <w:t>unique, but overlapping, regions of the rat brain. The significance of this result is further</w:t>
      </w:r>
      <w:r>
        <w:br/>
        <w:t>supported by studies where the pair-wise injection of in witro synthesized RNA encoding an</w:t>
      </w:r>
      <w:r>
        <w:br/>
      </w:r>
      <w:r>
        <w:lastRenderedPageBreak/>
        <w:t>alpha and a beta subunit into Xenopus oocytes has shown that the pharmacology and single</w:t>
      </w:r>
      <w:r>
        <w:br/>
        <w:t>channel properties of the resulting receptors varies with changes in subunit composition.</w:t>
      </w:r>
      <w:r>
        <w:br/>
        <w:t>Although the subunit composition of a native rnammalian nAChR remains to be determined,</w:t>
      </w:r>
      <w:r>
        <w:br/>
        <w:t>the high affinity *H-nicotine binding sites have been shown to be composed predominantly of</w:t>
      </w:r>
      <w:r>
        <w:br/>
        <w:t>a4+82 subunits and the '*!-a-bungarotoxin site corresponds with the expression of the a7</w:t>
      </w:r>
      <w:r>
        <w:br/>
        <w:t>subunit. As will be detailed below, | propose to combine the use of in situ hybridization and</w:t>
      </w:r>
      <w:r>
        <w:br/>
        <w:t>immunchistochemistry to address the question of co-expression and regulation of nAChRs and</w:t>
      </w:r>
      <w:r>
        <w:br/>
        <w:t>IL-1.</w:t>
      </w:r>
      <w:r>
        <w:br/>
      </w:r>
      <w:r>
        <w:br/>
        <w:t>Similar to the nAChRs, the IL-1 family consists of distinct molecules that are related by</w:t>
      </w:r>
      <w:r>
        <w:br/>
        <w:t>similarity in size and structure. Of the three known IL-1 molecules, two, IL-1@ and IL-18, bind</w:t>
      </w:r>
      <w:r>
        <w:br/>
        <w:t>to the IL-1 receptor (IL-1R) to induce a pro-inflammatory response. The third member of this</w:t>
      </w:r>
      <w:r>
        <w:br/>
        <w:t>family, IL-1 receptor antagonist (IL-1ra) competes with IL-1a@ and IL-1 for binding of the</w:t>
      </w:r>
      <w:r>
        <w:br/>
        <w:t>receptor but fails to activate the receptor signalling pathway upon binding. Hence IL-1ra is</w:t>
      </w:r>
      <w:r>
        <w:br/>
      </w:r>
      <w:r>
        <w:br/>
      </w:r>
    </w:p>
    <w:p w14:paraId="1BB4A5C5" w14:textId="77777777" w:rsidR="003B2D91" w:rsidRDefault="00000000">
      <w:r>
        <w:br w:type="page"/>
      </w:r>
    </w:p>
    <w:sectPr w:rsidR="003B2D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3567416">
    <w:abstractNumId w:val="8"/>
  </w:num>
  <w:num w:numId="2" w16cid:durableId="1486622511">
    <w:abstractNumId w:val="6"/>
  </w:num>
  <w:num w:numId="3" w16cid:durableId="2070495694">
    <w:abstractNumId w:val="5"/>
  </w:num>
  <w:num w:numId="4" w16cid:durableId="1510833245">
    <w:abstractNumId w:val="4"/>
  </w:num>
  <w:num w:numId="5" w16cid:durableId="1148673204">
    <w:abstractNumId w:val="7"/>
  </w:num>
  <w:num w:numId="6" w16cid:durableId="53354076">
    <w:abstractNumId w:val="3"/>
  </w:num>
  <w:num w:numId="7" w16cid:durableId="881862700">
    <w:abstractNumId w:val="2"/>
  </w:num>
  <w:num w:numId="8" w16cid:durableId="395594178">
    <w:abstractNumId w:val="1"/>
  </w:num>
  <w:num w:numId="9" w16cid:durableId="210981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3C8"/>
    <w:rsid w:val="00034616"/>
    <w:rsid w:val="0006063C"/>
    <w:rsid w:val="000D2EA3"/>
    <w:rsid w:val="0015074B"/>
    <w:rsid w:val="00233AC1"/>
    <w:rsid w:val="0029639D"/>
    <w:rsid w:val="00326F90"/>
    <w:rsid w:val="003666CB"/>
    <w:rsid w:val="003B2CE3"/>
    <w:rsid w:val="003B2D91"/>
    <w:rsid w:val="00417744"/>
    <w:rsid w:val="00604BF2"/>
    <w:rsid w:val="00740782"/>
    <w:rsid w:val="00880AD1"/>
    <w:rsid w:val="008D6F0B"/>
    <w:rsid w:val="00AA1D8D"/>
    <w:rsid w:val="00B47730"/>
    <w:rsid w:val="00CB0664"/>
    <w:rsid w:val="00DD6C4F"/>
    <w:rsid w:val="00E00EBA"/>
    <w:rsid w:val="00E57E16"/>
    <w:rsid w:val="00F83150"/>
    <w:rsid w:val="00FC693F"/>
    <w:rsid w:val="00FD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422AF"/>
  <w14:defaultImageDpi w14:val="300"/>
  <w15:docId w15:val="{883F7E3E-4FB0-485A-91C4-E4776302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17</Pages>
  <Words>3770</Words>
  <Characters>21489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Nosheen Khan</cp:lastModifiedBy>
  <cp:revision>10</cp:revision>
  <dcterms:created xsi:type="dcterms:W3CDTF">2013-12-23T23:15:00Z</dcterms:created>
  <dcterms:modified xsi:type="dcterms:W3CDTF">2026-05-29T16:54:00Z</dcterms:modified>
  <cp:category/>
</cp:coreProperties>
</file>