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Abigail Rappaport</w:t>
            </w:r>
          </w:p>
          <w:p>
            <w:pPr>
              <w:pStyle w:val="Normal"/>
              <w:jc w:val="both"/>
              <w:rPr/>
            </w:pPr>
            <w:r>
              <w:rPr>
                <w:rFonts w:eastAsia="Arial" w:cs="Arial" w:ascii="Arial" w:hAnsi="Arial"/>
                <w:b/>
                <w:sz w:val="24"/>
                <w:szCs w:val="24"/>
                <w:highlight w:val="white"/>
              </w:rPr>
              <w:t>CEO</w:t>
            </w:r>
          </w:p>
          <w:p>
            <w:pPr>
              <w:pStyle w:val="Normal"/>
              <w:jc w:val="both"/>
              <w:rPr/>
            </w:pPr>
            <w:r>
              <w:rPr>
                <w:rFonts w:eastAsia="Arial" w:cs="Arial" w:ascii="Arial" w:hAnsi="Arial"/>
                <w:b/>
                <w:sz w:val="24"/>
                <w:szCs w:val="24"/>
                <w:highlight w:val="white"/>
              </w:rPr>
              <w:t>Emoquo</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Ms Rappaport</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