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Andrew Blake</w:t>
            </w:r>
          </w:p>
          <w:p>
            <w:pPr>
              <w:pStyle w:val="Normal"/>
              <w:jc w:val="both"/>
              <w:rPr/>
            </w:pPr>
            <w:r>
              <w:rPr>
                <w:rFonts w:eastAsia="Arial" w:cs="Arial" w:ascii="Arial" w:hAnsi="Arial"/>
                <w:b/>
                <w:sz w:val="24"/>
                <w:szCs w:val="24"/>
                <w:highlight w:val="white"/>
              </w:rPr>
              <w:t>Chairman</w:t>
            </w:r>
          </w:p>
          <w:p>
            <w:pPr>
              <w:pStyle w:val="Normal"/>
              <w:jc w:val="both"/>
              <w:rPr/>
            </w:pPr>
            <w:r>
              <w:rPr>
                <w:rFonts w:eastAsia="Arial" w:cs="Arial" w:ascii="Arial" w:hAnsi="Arial"/>
                <w:b/>
                <w:sz w:val="24"/>
                <w:szCs w:val="24"/>
                <w:highlight w:val="white"/>
              </w:rPr>
              <w:t>Samsung’s AI Research Centre</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Blake</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