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Andrew Garrad</w:t>
            </w:r>
          </w:p>
          <w:p>
            <w:pPr>
              <w:pStyle w:val="Normal"/>
              <w:jc w:val="both"/>
              <w:rPr/>
            </w:pPr>
            <w:r>
              <w:rPr>
                <w:rFonts w:eastAsia="Arial" w:cs="Arial" w:ascii="Arial" w:hAnsi="Arial"/>
                <w:b/>
                <w:sz w:val="24"/>
                <w:szCs w:val="24"/>
              </w:rPr>
              <w:t>Founding Director</w:t>
            </w:r>
          </w:p>
          <w:p>
            <w:pPr>
              <w:pStyle w:val="Normal"/>
              <w:jc w:val="both"/>
              <w:rPr/>
            </w:pPr>
            <w:r>
              <w:rPr>
                <w:rFonts w:eastAsia="Arial" w:cs="Arial" w:ascii="Arial" w:hAnsi="Arial"/>
                <w:b/>
                <w:sz w:val="24"/>
                <w:szCs w:val="24"/>
              </w:rPr>
              <w:t>Garrad Hassan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Garrad</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