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Aromar Revi</w:t>
            </w:r>
          </w:p>
          <w:p>
            <w:pPr>
              <w:pStyle w:val="Normal"/>
              <w:jc w:val="both"/>
              <w:rPr/>
            </w:pPr>
            <w:r>
              <w:rPr>
                <w:rFonts w:eastAsia="Arial" w:cs="Arial" w:ascii="Arial" w:hAnsi="Arial"/>
                <w:b/>
                <w:sz w:val="24"/>
                <w:szCs w:val="24"/>
              </w:rPr>
              <w:t>Founding Director</w:t>
            </w:r>
          </w:p>
          <w:p>
            <w:pPr>
              <w:pStyle w:val="Normal"/>
              <w:jc w:val="both"/>
              <w:rPr/>
            </w:pPr>
            <w:r>
              <w:rPr>
                <w:rFonts w:eastAsia="Arial" w:cs="Arial" w:ascii="Arial" w:hAnsi="Arial"/>
                <w:b/>
                <w:sz w:val="24"/>
                <w:szCs w:val="24"/>
              </w:rPr>
              <w:t>Indian Institute for Human Settlements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Revi</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