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Carol Graham</w:t>
            </w:r>
          </w:p>
          <w:p>
            <w:pPr>
              <w:pStyle w:val="Normal"/>
              <w:jc w:val="both"/>
              <w:rPr/>
            </w:pPr>
            <w:r>
              <w:rPr>
                <w:rFonts w:eastAsia="Arial" w:cs="Arial" w:ascii="Arial" w:hAnsi="Arial"/>
                <w:b/>
                <w:sz w:val="24"/>
                <w:szCs w:val="24"/>
              </w:rPr>
              <w:t>Senior Fellow</w:t>
            </w:r>
          </w:p>
          <w:p>
            <w:pPr>
              <w:pStyle w:val="Normal"/>
              <w:jc w:val="both"/>
              <w:rPr/>
            </w:pPr>
            <w:r>
              <w:rPr>
                <w:rFonts w:eastAsia="Arial" w:cs="Arial" w:ascii="Arial" w:hAnsi="Arial"/>
                <w:b/>
                <w:sz w:val="24"/>
                <w:szCs w:val="24"/>
              </w:rPr>
              <w:t>Brookings Institution</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Graham</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