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Caroline Milow</w:t>
            </w:r>
          </w:p>
          <w:p>
            <w:pPr>
              <w:pStyle w:val="Normal"/>
              <w:jc w:val="both"/>
              <w:rPr/>
            </w:pPr>
            <w:r>
              <w:rPr>
                <w:rFonts w:eastAsia="Arial" w:cs="Arial" w:ascii="Arial" w:hAnsi="Arial"/>
                <w:b/>
                <w:sz w:val="24"/>
                <w:szCs w:val="24"/>
              </w:rPr>
              <w:t>Programme Director of the “Green Central Asia”</w:t>
            </w:r>
          </w:p>
          <w:p>
            <w:pPr>
              <w:pStyle w:val="Normal"/>
              <w:jc w:val="both"/>
              <w:rPr/>
            </w:pPr>
            <w:r>
              <w:rPr>
                <w:rFonts w:eastAsia="Arial" w:cs="Arial" w:ascii="Arial" w:hAnsi="Arial"/>
                <w:b/>
                <w:sz w:val="24"/>
                <w:szCs w:val="24"/>
              </w:rPr>
              <w:t>GIZ</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Milow</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