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David Autor</w:t>
            </w:r>
          </w:p>
          <w:p>
            <w:pPr>
              <w:pStyle w:val="Normal"/>
              <w:jc w:val="both"/>
              <w:rPr/>
            </w:pPr>
            <w:r>
              <w:rPr>
                <w:rFonts w:eastAsia="Arial" w:cs="Arial" w:ascii="Arial" w:hAnsi="Arial"/>
                <w:b/>
                <w:sz w:val="24"/>
                <w:szCs w:val="24"/>
                <w:highlight w:val="white"/>
              </w:rPr>
              <w:t>Ford Professor of Economics</w:t>
            </w:r>
          </w:p>
          <w:p>
            <w:pPr>
              <w:pStyle w:val="Normal"/>
              <w:jc w:val="both"/>
              <w:rPr/>
            </w:pPr>
            <w:r>
              <w:rPr>
                <w:rFonts w:eastAsia="Arial" w:cs="Arial" w:ascii="Arial" w:hAnsi="Arial"/>
                <w:b/>
                <w:sz w:val="24"/>
                <w:szCs w:val="24"/>
                <w:highlight w:val="white"/>
              </w:rPr>
              <w:t>Massachusetts Institute of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Autor</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