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David Rotman</w:t>
            </w:r>
          </w:p>
          <w:p>
            <w:pPr>
              <w:pStyle w:val="Normal"/>
              <w:jc w:val="both"/>
              <w:rPr/>
            </w:pPr>
            <w:r>
              <w:rPr>
                <w:rFonts w:eastAsia="Arial" w:cs="Arial" w:ascii="Arial" w:hAnsi="Arial"/>
                <w:b/>
                <w:sz w:val="24"/>
                <w:szCs w:val="24"/>
                <w:highlight w:val="white"/>
              </w:rPr>
              <w:t>Editor at Large</w:t>
            </w:r>
          </w:p>
          <w:p>
            <w:pPr>
              <w:pStyle w:val="Normal"/>
              <w:jc w:val="both"/>
              <w:rPr/>
            </w:pPr>
            <w:r>
              <w:rPr>
                <w:rFonts w:eastAsia="Arial" w:cs="Arial" w:ascii="Arial" w:hAnsi="Arial"/>
                <w:b/>
                <w:sz w:val="24"/>
                <w:szCs w:val="24"/>
                <w:highlight w:val="white"/>
              </w:rPr>
              <w:t>MIT Technology Review</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Rotman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