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Fernando Santiago</w:t></w:r></w:p><w:p><w:pPr><w:pStyle w:val="Normal"/><w:jc w:val="both"/><w:rPr></w:rPr></w:pPr><w:r><w:rPr><w:rFonts w:eastAsia="Arial" w:cs="Arial" w:ascii="Arial" w:hAnsi="Arial"/><w:b/><w:sz w:val="24"/><w:szCs w:val="24"/><w:highlight w:val="white"/></w:rPr><w:t>Industrial Policy Officer, Division of Research & Industrial Policy Advice</w:t></w:r></w:p><w:p><w:pPr><w:pStyle w:val="Normal"/><w:jc w:val="both"/><w:rPr></w:rPr></w:pPr><w:r><w:rPr><w:rFonts w:eastAsia="Arial" w:cs="Arial" w:ascii="Arial" w:hAnsi="Arial"/><w:b/><w:sz w:val="24"/><w:szCs w:val="24"/><w:highlight w:val="white"/></w:rPr><w:t>UNIDO</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Mr Santiago</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